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24"/>
        </w:tabs>
        <w:jc w:val="left"/>
        <w:rPr>
          <w:rFonts w:hint="eastAsia" w:eastAsia="宋体"/>
          <w:color w:val="auto"/>
          <w:lang w:eastAsia="zh-CN"/>
        </w:rPr>
      </w:pPr>
    </w:p>
    <w:p>
      <w:pPr>
        <w:jc w:val="center"/>
        <w:rPr>
          <w:rFonts w:hint="eastAsia"/>
          <w:color w:val="auto"/>
        </w:rPr>
      </w:pPr>
    </w:p>
    <w:p>
      <w:pPr>
        <w:jc w:val="center"/>
        <w:rPr>
          <w:rFonts w:hint="eastAsia"/>
          <w:color w:val="auto"/>
        </w:rPr>
      </w:pPr>
    </w:p>
    <w:p>
      <w:pPr>
        <w:jc w:val="center"/>
        <w:rPr>
          <w:rFonts w:hint="eastAsia"/>
          <w:color w:val="auto"/>
        </w:rPr>
      </w:pPr>
    </w:p>
    <w:p>
      <w:pPr>
        <w:jc w:val="center"/>
        <w:rPr>
          <w:rFonts w:hint="eastAsia"/>
          <w:color w:val="auto"/>
        </w:rPr>
      </w:pPr>
    </w:p>
    <w:p>
      <w:pPr>
        <w:rPr>
          <w:rFonts w:hint="eastAsia" w:eastAsia="宋体"/>
          <w:color w:val="auto"/>
          <w:lang w:eastAsia="zh-CN"/>
        </w:rPr>
      </w:pPr>
    </w:p>
    <w:p>
      <w:pPr>
        <w:rPr>
          <w:rFonts w:hint="eastAsia"/>
          <w:b/>
          <w:bCs/>
          <w:color w:val="auto"/>
          <w:sz w:val="24"/>
        </w:rPr>
      </w:pPr>
      <w:r>
        <w:rPr>
          <w:color w:val="auto"/>
        </w:rPr>
        <w:drawing>
          <wp:anchor distT="0" distB="0" distL="114300" distR="114300" simplePos="0" relativeHeight="251659264" behindDoc="1" locked="0" layoutInCell="1" allowOverlap="0">
            <wp:simplePos x="0" y="0"/>
            <wp:positionH relativeFrom="column">
              <wp:posOffset>1106170</wp:posOffset>
            </wp:positionH>
            <wp:positionV relativeFrom="page">
              <wp:posOffset>1938020</wp:posOffset>
            </wp:positionV>
            <wp:extent cx="3895725" cy="3469005"/>
            <wp:effectExtent l="0" t="0" r="9525" b="17145"/>
            <wp:wrapNone/>
            <wp:docPr id="1" name="图片 7" descr="标准司标集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descr="标准司标集1"/>
                    <pic:cNvPicPr>
                      <a:picLocks noChangeAspect="1"/>
                    </pic:cNvPicPr>
                  </pic:nvPicPr>
                  <pic:blipFill>
                    <a:blip r:embed="rId14">
                      <a:grayscl/>
                      <a:lum bright="70001" contrast="-70000"/>
                    </a:blip>
                    <a:stretch>
                      <a:fillRect/>
                    </a:stretch>
                  </pic:blipFill>
                  <pic:spPr>
                    <a:xfrm>
                      <a:off x="0" y="0"/>
                      <a:ext cx="3895725" cy="3469005"/>
                    </a:xfrm>
                    <a:prstGeom prst="rect">
                      <a:avLst/>
                    </a:prstGeom>
                    <a:noFill/>
                    <a:ln>
                      <a:noFill/>
                    </a:ln>
                  </pic:spPr>
                </pic:pic>
              </a:graphicData>
            </a:graphic>
          </wp:anchor>
        </w:drawing>
      </w:r>
    </w:p>
    <w:p>
      <w:pPr>
        <w:rPr>
          <w:rFonts w:hint="eastAsia"/>
          <w:color w:val="auto"/>
        </w:rPr>
      </w:pPr>
    </w:p>
    <w:p>
      <w:pPr>
        <w:rPr>
          <w:rFonts w:hint="eastAsia"/>
          <w:color w:val="auto"/>
        </w:rPr>
      </w:pPr>
    </w:p>
    <w:p>
      <w:pPr>
        <w:rPr>
          <w:rFonts w:hint="eastAsia"/>
          <w:color w:val="auto"/>
        </w:rPr>
      </w:pPr>
    </w:p>
    <w:p>
      <w:pPr>
        <w:ind w:firstLine="1470" w:firstLineChars="700"/>
        <w:rPr>
          <w:color w:val="auto"/>
        </w:rPr>
      </w:pPr>
    </w:p>
    <w:p>
      <w:pPr>
        <w:rPr>
          <w:color w:val="auto"/>
        </w:rPr>
      </w:pPr>
    </w:p>
    <w:p>
      <w:pPr>
        <w:rPr>
          <w:rFonts w:hint="eastAsia"/>
          <w:color w:val="auto"/>
        </w:rPr>
      </w:pPr>
    </w:p>
    <w:p>
      <w:pPr>
        <w:rPr>
          <w:rFonts w:hint="eastAsia"/>
          <w:color w:val="auto"/>
        </w:rPr>
      </w:pPr>
    </w:p>
    <w:p>
      <w:pPr>
        <w:rPr>
          <w:rFonts w:hint="eastAsia"/>
          <w:color w:val="auto"/>
        </w:rPr>
      </w:pPr>
    </w:p>
    <w:p>
      <w:pPr>
        <w:jc w:val="center"/>
        <w:rPr>
          <w:rFonts w:hint="default" w:ascii="黑体" w:hAnsi="黑体" w:eastAsia="黑体" w:cs="黑体"/>
          <w:b/>
          <w:bCs/>
          <w:color w:val="auto"/>
          <w:sz w:val="52"/>
          <w:szCs w:val="52"/>
          <w:lang w:val="en-US" w:eastAsia="zh-CN"/>
        </w:rPr>
      </w:pPr>
      <w:r>
        <w:rPr>
          <w:rFonts w:hint="eastAsia" w:ascii="黑体" w:hAnsi="黑体" w:eastAsia="黑体" w:cs="黑体"/>
          <w:b/>
          <w:bCs/>
          <w:color w:val="auto"/>
          <w:sz w:val="52"/>
          <w:szCs w:val="52"/>
          <w:lang w:val="en-US" w:eastAsia="zh-CN"/>
        </w:rPr>
        <w:t>无油压缩空气制备系统</w:t>
      </w:r>
    </w:p>
    <w:p>
      <w:pPr>
        <w:rPr>
          <w:rFonts w:hint="eastAsia" w:eastAsia="黑体"/>
          <w:b/>
          <w:bCs/>
          <w:color w:val="auto"/>
          <w:sz w:val="52"/>
          <w:szCs w:val="52"/>
        </w:rPr>
      </w:pPr>
    </w:p>
    <w:p>
      <w:pPr>
        <w:jc w:val="center"/>
        <w:rPr>
          <w:rFonts w:hint="eastAsia" w:ascii="宋体" w:hAnsi="宋体" w:cs="宋体"/>
          <w:b/>
          <w:bCs/>
          <w:color w:val="auto"/>
          <w:sz w:val="52"/>
          <w:szCs w:val="52"/>
        </w:rPr>
      </w:pPr>
      <w:r>
        <w:rPr>
          <w:rFonts w:hint="eastAsia" w:ascii="黑体" w:hAnsi="黑体" w:eastAsia="黑体" w:cs="黑体"/>
          <w:b/>
          <w:bCs/>
          <w:color w:val="auto"/>
          <w:sz w:val="52"/>
          <w:szCs w:val="52"/>
          <w:lang w:eastAsia="zh-CN"/>
        </w:rPr>
        <w:t>用户需求标准</w:t>
      </w:r>
    </w:p>
    <w:p>
      <w:pPr>
        <w:jc w:val="center"/>
        <w:rPr>
          <w:rFonts w:hint="eastAsia" w:eastAsia="黑体"/>
          <w:b/>
          <w:bCs/>
          <w:color w:val="auto"/>
          <w:sz w:val="36"/>
        </w:rPr>
      </w:pPr>
    </w:p>
    <w:p>
      <w:pPr>
        <w:jc w:val="center"/>
        <w:rPr>
          <w:rFonts w:hint="eastAsia" w:eastAsia="黑体"/>
          <w:b/>
          <w:bCs/>
          <w:color w:val="auto"/>
          <w:sz w:val="36"/>
        </w:rPr>
      </w:pPr>
    </w:p>
    <w:p>
      <w:pPr>
        <w:jc w:val="center"/>
        <w:rPr>
          <w:rFonts w:hint="eastAsia" w:eastAsia="黑体"/>
          <w:b/>
          <w:bCs/>
          <w:color w:val="auto"/>
          <w:sz w:val="36"/>
        </w:rPr>
      </w:pPr>
    </w:p>
    <w:p>
      <w:pPr>
        <w:jc w:val="center"/>
        <w:rPr>
          <w:rFonts w:hint="eastAsia" w:eastAsia="黑体"/>
          <w:b/>
          <w:bCs/>
          <w:color w:val="auto"/>
          <w:sz w:val="36"/>
        </w:rPr>
      </w:pPr>
    </w:p>
    <w:p>
      <w:pPr>
        <w:jc w:val="center"/>
        <w:rPr>
          <w:rFonts w:hint="eastAsia" w:eastAsia="黑体"/>
          <w:b/>
          <w:bCs/>
          <w:color w:val="auto"/>
          <w:sz w:val="36"/>
        </w:rPr>
      </w:pPr>
    </w:p>
    <w:p>
      <w:pPr>
        <w:jc w:val="center"/>
        <w:rPr>
          <w:rFonts w:hint="eastAsia" w:eastAsia="黑体"/>
          <w:b/>
          <w:bCs/>
          <w:color w:val="auto"/>
          <w:sz w:val="36"/>
        </w:rPr>
      </w:pPr>
    </w:p>
    <w:p>
      <w:pPr>
        <w:jc w:val="center"/>
        <w:rPr>
          <w:rFonts w:hint="eastAsia" w:eastAsia="黑体"/>
          <w:b/>
          <w:bCs/>
          <w:color w:val="auto"/>
          <w:sz w:val="36"/>
          <w:lang w:eastAsia="zh-CN"/>
        </w:rPr>
      </w:pPr>
    </w:p>
    <w:p>
      <w:pPr>
        <w:jc w:val="center"/>
        <w:rPr>
          <w:rFonts w:hint="eastAsia" w:eastAsia="黑体"/>
          <w:b/>
          <w:bCs/>
          <w:color w:val="auto"/>
          <w:sz w:val="36"/>
        </w:rPr>
      </w:pPr>
    </w:p>
    <w:p>
      <w:pPr>
        <w:jc w:val="center"/>
        <w:rPr>
          <w:rFonts w:hint="eastAsia" w:eastAsia="黑体"/>
          <w:b/>
          <w:bCs/>
          <w:color w:val="auto"/>
          <w:sz w:val="36"/>
        </w:rPr>
      </w:pPr>
    </w:p>
    <w:p>
      <w:pPr>
        <w:jc w:val="center"/>
        <w:rPr>
          <w:rFonts w:hint="eastAsia" w:eastAsia="黑体"/>
          <w:b/>
          <w:bCs/>
          <w:color w:val="auto"/>
          <w:sz w:val="36"/>
        </w:rPr>
      </w:pPr>
    </w:p>
    <w:p>
      <w:pPr>
        <w:jc w:val="both"/>
        <w:rPr>
          <w:rFonts w:hint="eastAsia" w:eastAsia="黑体"/>
          <w:b/>
          <w:bCs/>
          <w:color w:val="auto"/>
          <w:sz w:val="36"/>
        </w:rPr>
      </w:pPr>
    </w:p>
    <w:p>
      <w:pPr>
        <w:jc w:val="center"/>
        <w:rPr>
          <w:rFonts w:hint="eastAsia" w:eastAsia="黑体"/>
          <w:b/>
          <w:bCs/>
          <w:color w:val="auto"/>
          <w:sz w:val="36"/>
        </w:rPr>
      </w:pPr>
    </w:p>
    <w:p>
      <w:pPr>
        <w:jc w:val="center"/>
        <w:rPr>
          <w:rFonts w:hint="eastAsia" w:eastAsia="黑体"/>
          <w:b/>
          <w:bCs/>
          <w:color w:val="auto"/>
          <w:sz w:val="36"/>
        </w:rPr>
      </w:pPr>
    </w:p>
    <w:p>
      <w:pPr>
        <w:jc w:val="center"/>
        <w:rPr>
          <w:rFonts w:hint="eastAsia" w:eastAsia="黑体"/>
          <w:b/>
          <w:bCs/>
          <w:color w:val="auto"/>
          <w:sz w:val="36"/>
        </w:rPr>
      </w:pPr>
    </w:p>
    <w:p>
      <w:pPr>
        <w:jc w:val="center"/>
        <w:rPr>
          <w:rFonts w:hint="eastAsia" w:eastAsia="黑体"/>
          <w:b/>
          <w:bCs/>
          <w:color w:val="auto"/>
          <w:sz w:val="36"/>
        </w:rPr>
      </w:pPr>
    </w:p>
    <w:p>
      <w:pPr>
        <w:jc w:val="center"/>
        <w:rPr>
          <w:rFonts w:hint="eastAsia" w:ascii="宋体" w:hAnsi="宋体" w:cs="宋体"/>
          <w:b/>
          <w:bCs/>
          <w:color w:val="auto"/>
          <w:sz w:val="36"/>
        </w:rPr>
      </w:pPr>
      <w:r>
        <w:rPr>
          <w:rFonts w:hint="eastAsia" w:ascii="宋体" w:hAnsi="宋体" w:cs="宋体"/>
          <w:b/>
          <w:bCs/>
          <w:color w:val="auto"/>
          <w:sz w:val="36"/>
        </w:rPr>
        <w:t>药大制药有限公司</w:t>
      </w:r>
    </w:p>
    <w:p>
      <w:pPr>
        <w:rPr>
          <w:rFonts w:hint="eastAsia" w:ascii="宋体" w:hAnsi="宋体" w:cs="宋体"/>
          <w:color w:val="auto"/>
        </w:rPr>
      </w:pPr>
    </w:p>
    <w:p>
      <w:pPr>
        <w:spacing w:line="360" w:lineRule="auto"/>
        <w:jc w:val="both"/>
        <w:rPr>
          <w:rFonts w:hint="eastAsia" w:eastAsia="黑体"/>
          <w:b/>
          <w:color w:val="auto"/>
          <w:sz w:val="28"/>
          <w:szCs w:val="28"/>
        </w:rPr>
        <w:sectPr>
          <w:headerReference r:id="rId4" w:type="first"/>
          <w:footerReference r:id="rId6" w:type="first"/>
          <w:headerReference r:id="rId3" w:type="default"/>
          <w:footerReference r:id="rId5" w:type="default"/>
          <w:pgSz w:w="12240" w:h="15840"/>
          <w:pgMar w:top="1225" w:right="1134" w:bottom="1089" w:left="1701" w:header="720" w:footer="720" w:gutter="0"/>
          <w:cols w:space="720" w:num="1"/>
          <w:titlePg/>
          <w:docGrid w:linePitch="272" w:charSpace="0"/>
        </w:sectPr>
      </w:pPr>
    </w:p>
    <w:p>
      <w:pPr>
        <w:spacing w:line="360" w:lineRule="auto"/>
        <w:jc w:val="center"/>
        <w:rPr>
          <w:rFonts w:hint="eastAsia" w:eastAsia="黑体"/>
          <w:b/>
          <w:color w:val="auto"/>
          <w:sz w:val="32"/>
          <w:szCs w:val="32"/>
          <w:lang w:eastAsia="zh-CN"/>
        </w:rPr>
      </w:pPr>
    </w:p>
    <w:p>
      <w:pPr>
        <w:spacing w:line="360" w:lineRule="auto"/>
        <w:jc w:val="center"/>
        <w:rPr>
          <w:rFonts w:hint="eastAsia" w:ascii="宋体" w:hAnsi="宋体" w:cs="宋体"/>
          <w:b/>
          <w:sz w:val="32"/>
          <w:szCs w:val="32"/>
          <w:shd w:val="clear" w:color="FFFFFF" w:fill="D9D9D9"/>
        </w:rPr>
      </w:pPr>
      <w:r>
        <w:rPr>
          <w:rFonts w:hint="eastAsia" w:ascii="宋体" w:hAnsi="宋体" w:cs="宋体"/>
          <w:b/>
          <w:sz w:val="32"/>
          <w:szCs w:val="32"/>
        </w:rPr>
        <w:t>文件审批</w:t>
      </w:r>
    </w:p>
    <w:tbl>
      <w:tblPr>
        <w:tblStyle w:val="11"/>
        <w:tblW w:w="9634"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7"/>
        <w:gridCol w:w="3050"/>
        <w:gridCol w:w="1850"/>
        <w:gridCol w:w="2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2617" w:type="dxa"/>
            <w:shd w:val="clear" w:color="auto" w:fill="D7D7D7"/>
            <w:noWrap w:val="0"/>
            <w:vAlign w:val="center"/>
          </w:tcPr>
          <w:p>
            <w:pPr>
              <w:spacing w:line="360" w:lineRule="auto"/>
              <w:jc w:val="center"/>
              <w:rPr>
                <w:rFonts w:hint="eastAsia" w:ascii="宋体" w:hAnsi="宋体" w:cs="宋体"/>
                <w:bCs/>
                <w:sz w:val="28"/>
                <w:szCs w:val="28"/>
                <w:shd w:val="clear" w:color="FFFFFF" w:fill="D9D9D9"/>
              </w:rPr>
            </w:pPr>
          </w:p>
        </w:tc>
        <w:tc>
          <w:tcPr>
            <w:tcW w:w="3050" w:type="dxa"/>
            <w:shd w:val="clear" w:color="auto" w:fill="D7D7D7"/>
            <w:noWrap w:val="0"/>
            <w:vAlign w:val="center"/>
          </w:tcPr>
          <w:p>
            <w:pPr>
              <w:spacing w:line="360" w:lineRule="auto"/>
              <w:jc w:val="center"/>
              <w:rPr>
                <w:rFonts w:hint="eastAsia" w:ascii="宋体" w:hAnsi="宋体" w:cs="宋体"/>
                <w:bCs/>
                <w:sz w:val="28"/>
                <w:szCs w:val="28"/>
              </w:rPr>
            </w:pPr>
            <w:r>
              <w:rPr>
                <w:rFonts w:hint="eastAsia" w:ascii="宋体" w:hAnsi="宋体" w:cs="宋体"/>
                <w:bCs/>
                <w:sz w:val="28"/>
                <w:szCs w:val="28"/>
              </w:rPr>
              <w:t>职责</w:t>
            </w:r>
          </w:p>
        </w:tc>
        <w:tc>
          <w:tcPr>
            <w:tcW w:w="1850" w:type="dxa"/>
            <w:shd w:val="clear" w:color="auto" w:fill="D7D7D7"/>
            <w:noWrap w:val="0"/>
            <w:vAlign w:val="center"/>
          </w:tcPr>
          <w:p>
            <w:pPr>
              <w:spacing w:line="360" w:lineRule="auto"/>
              <w:jc w:val="center"/>
              <w:rPr>
                <w:rFonts w:hint="eastAsia" w:ascii="宋体" w:hAnsi="宋体" w:cs="宋体"/>
                <w:bCs/>
                <w:sz w:val="28"/>
                <w:szCs w:val="28"/>
                <w:shd w:val="clear" w:color="FFFFFF" w:fill="D9D9D9"/>
              </w:rPr>
            </w:pPr>
            <w:r>
              <w:rPr>
                <w:rFonts w:hint="eastAsia" w:ascii="宋体" w:hAnsi="宋体" w:cs="宋体"/>
                <w:bCs/>
                <w:sz w:val="28"/>
                <w:szCs w:val="28"/>
              </w:rPr>
              <w:t>签名</w:t>
            </w:r>
          </w:p>
        </w:tc>
        <w:tc>
          <w:tcPr>
            <w:tcW w:w="2117" w:type="dxa"/>
            <w:shd w:val="clear" w:color="auto" w:fill="D7D7D7"/>
            <w:noWrap w:val="0"/>
            <w:vAlign w:val="center"/>
          </w:tcPr>
          <w:p>
            <w:pPr>
              <w:spacing w:line="360" w:lineRule="auto"/>
              <w:jc w:val="center"/>
              <w:rPr>
                <w:rFonts w:hint="eastAsia" w:ascii="宋体" w:hAnsi="宋体" w:cs="宋体"/>
                <w:bCs/>
                <w:sz w:val="28"/>
                <w:szCs w:val="28"/>
                <w:shd w:val="clear" w:color="FFFFFF" w:fill="D9D9D9"/>
              </w:rPr>
            </w:pPr>
            <w:r>
              <w:rPr>
                <w:rFonts w:hint="eastAsia" w:ascii="宋体" w:hAnsi="宋体" w:cs="宋体"/>
                <w:bCs/>
                <w:sz w:val="28"/>
                <w:szCs w:val="28"/>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2617" w:type="dxa"/>
            <w:noWrap w:val="0"/>
            <w:vAlign w:val="center"/>
          </w:tcPr>
          <w:p>
            <w:pPr>
              <w:spacing w:line="360" w:lineRule="auto"/>
              <w:jc w:val="center"/>
              <w:rPr>
                <w:rFonts w:hint="eastAsia" w:ascii="宋体" w:hAnsi="宋体" w:cs="宋体"/>
                <w:bCs/>
                <w:sz w:val="28"/>
                <w:szCs w:val="28"/>
              </w:rPr>
            </w:pPr>
            <w:r>
              <w:rPr>
                <w:rFonts w:hint="eastAsia" w:ascii="宋体" w:hAnsi="宋体" w:cs="宋体"/>
                <w:bCs/>
                <w:sz w:val="28"/>
                <w:szCs w:val="28"/>
              </w:rPr>
              <w:t>起草人</w:t>
            </w:r>
          </w:p>
        </w:tc>
        <w:tc>
          <w:tcPr>
            <w:tcW w:w="3050" w:type="dxa"/>
            <w:noWrap w:val="0"/>
            <w:vAlign w:val="center"/>
          </w:tcPr>
          <w:p>
            <w:pPr>
              <w:spacing w:line="320" w:lineRule="exact"/>
              <w:jc w:val="center"/>
              <w:rPr>
                <w:rFonts w:hint="eastAsia" w:ascii="宋体" w:hAnsi="宋体" w:cs="宋体"/>
                <w:bCs/>
                <w:sz w:val="28"/>
                <w:szCs w:val="28"/>
              </w:rPr>
            </w:pPr>
            <w:r>
              <w:rPr>
                <w:rFonts w:hint="eastAsia" w:ascii="宋体" w:hAnsi="宋体" w:cs="宋体"/>
                <w:bCs/>
                <w:sz w:val="28"/>
                <w:szCs w:val="28"/>
              </w:rPr>
              <w:t>负责URS文件起草</w:t>
            </w:r>
          </w:p>
        </w:tc>
        <w:tc>
          <w:tcPr>
            <w:tcW w:w="1850" w:type="dxa"/>
            <w:noWrap w:val="0"/>
            <w:vAlign w:val="center"/>
          </w:tcPr>
          <w:p>
            <w:pPr>
              <w:spacing w:line="360" w:lineRule="auto"/>
              <w:jc w:val="center"/>
              <w:rPr>
                <w:rFonts w:hint="eastAsia" w:ascii="宋体" w:hAnsi="宋体" w:cs="宋体"/>
                <w:bCs/>
                <w:sz w:val="28"/>
                <w:szCs w:val="28"/>
              </w:rPr>
            </w:pPr>
          </w:p>
        </w:tc>
        <w:tc>
          <w:tcPr>
            <w:tcW w:w="2117" w:type="dxa"/>
            <w:noWrap w:val="0"/>
            <w:vAlign w:val="center"/>
          </w:tcPr>
          <w:p>
            <w:pPr>
              <w:spacing w:line="360" w:lineRule="auto"/>
              <w:jc w:val="center"/>
              <w:rPr>
                <w:rFonts w:hint="eastAsia" w:ascii="宋体" w:hAnsi="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trPr>
        <w:tc>
          <w:tcPr>
            <w:tcW w:w="2617" w:type="dxa"/>
            <w:noWrap w:val="0"/>
            <w:vAlign w:val="center"/>
          </w:tcPr>
          <w:p>
            <w:pPr>
              <w:spacing w:line="360" w:lineRule="auto"/>
              <w:jc w:val="center"/>
              <w:rPr>
                <w:rFonts w:hint="eastAsia" w:ascii="宋体" w:hAnsi="宋体" w:cs="宋体"/>
                <w:bCs/>
                <w:sz w:val="28"/>
                <w:szCs w:val="28"/>
              </w:rPr>
            </w:pPr>
            <w:r>
              <w:rPr>
                <w:rFonts w:hint="eastAsia" w:ascii="宋体" w:hAnsi="宋体" w:cs="宋体"/>
                <w:bCs/>
                <w:sz w:val="28"/>
                <w:szCs w:val="28"/>
              </w:rPr>
              <w:t>部门负责人</w:t>
            </w:r>
          </w:p>
        </w:tc>
        <w:tc>
          <w:tcPr>
            <w:tcW w:w="3050" w:type="dxa"/>
            <w:noWrap w:val="0"/>
            <w:vAlign w:val="center"/>
          </w:tcPr>
          <w:p>
            <w:pPr>
              <w:spacing w:line="320" w:lineRule="exact"/>
              <w:jc w:val="center"/>
              <w:rPr>
                <w:rFonts w:hint="eastAsia" w:ascii="宋体" w:hAnsi="宋体" w:cs="宋体"/>
                <w:bCs/>
                <w:sz w:val="28"/>
                <w:szCs w:val="28"/>
              </w:rPr>
            </w:pPr>
            <w:r>
              <w:rPr>
                <w:rFonts w:hint="eastAsia" w:ascii="宋体" w:hAnsi="宋体" w:cs="宋体"/>
                <w:bCs/>
                <w:sz w:val="28"/>
                <w:szCs w:val="28"/>
              </w:rPr>
              <w:t>负责URS文件审核</w:t>
            </w:r>
          </w:p>
        </w:tc>
        <w:tc>
          <w:tcPr>
            <w:tcW w:w="1850" w:type="dxa"/>
            <w:noWrap w:val="0"/>
            <w:vAlign w:val="center"/>
          </w:tcPr>
          <w:p>
            <w:pPr>
              <w:spacing w:line="360" w:lineRule="auto"/>
              <w:jc w:val="center"/>
              <w:rPr>
                <w:rFonts w:hint="eastAsia" w:ascii="宋体" w:hAnsi="宋体" w:cs="宋体"/>
                <w:bCs/>
                <w:sz w:val="28"/>
                <w:szCs w:val="28"/>
              </w:rPr>
            </w:pPr>
          </w:p>
        </w:tc>
        <w:tc>
          <w:tcPr>
            <w:tcW w:w="2117" w:type="dxa"/>
            <w:noWrap w:val="0"/>
            <w:vAlign w:val="center"/>
          </w:tcPr>
          <w:p>
            <w:pPr>
              <w:spacing w:line="360" w:lineRule="auto"/>
              <w:jc w:val="center"/>
              <w:rPr>
                <w:rFonts w:hint="eastAsia" w:ascii="宋体" w:hAnsi="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617" w:type="dxa"/>
            <w:noWrap w:val="0"/>
            <w:vAlign w:val="center"/>
          </w:tcPr>
          <w:p>
            <w:pPr>
              <w:spacing w:line="360" w:lineRule="auto"/>
              <w:jc w:val="center"/>
              <w:rPr>
                <w:rFonts w:hint="eastAsia" w:ascii="宋体" w:hAnsi="宋体" w:cs="宋体"/>
                <w:bCs/>
                <w:sz w:val="28"/>
                <w:szCs w:val="28"/>
              </w:rPr>
            </w:pPr>
            <w:r>
              <w:rPr>
                <w:rFonts w:hint="eastAsia" w:ascii="宋体" w:hAnsi="宋体" w:cs="宋体"/>
                <w:bCs/>
                <w:sz w:val="28"/>
                <w:szCs w:val="28"/>
              </w:rPr>
              <w:t>生产管理负责人</w:t>
            </w:r>
          </w:p>
        </w:tc>
        <w:tc>
          <w:tcPr>
            <w:tcW w:w="3050" w:type="dxa"/>
            <w:noWrap w:val="0"/>
            <w:vAlign w:val="center"/>
          </w:tcPr>
          <w:p>
            <w:pPr>
              <w:spacing w:line="320" w:lineRule="exact"/>
              <w:jc w:val="center"/>
              <w:rPr>
                <w:rFonts w:hint="eastAsia" w:ascii="宋体" w:hAnsi="宋体" w:cs="宋体"/>
                <w:bCs/>
                <w:sz w:val="28"/>
                <w:szCs w:val="28"/>
              </w:rPr>
            </w:pPr>
            <w:r>
              <w:rPr>
                <w:rFonts w:hint="eastAsia" w:ascii="宋体" w:hAnsi="宋体" w:cs="宋体"/>
                <w:bCs/>
                <w:sz w:val="28"/>
                <w:szCs w:val="28"/>
              </w:rPr>
              <w:t>负责URS文件审核</w:t>
            </w:r>
          </w:p>
        </w:tc>
        <w:tc>
          <w:tcPr>
            <w:tcW w:w="1850" w:type="dxa"/>
            <w:noWrap w:val="0"/>
            <w:vAlign w:val="center"/>
          </w:tcPr>
          <w:p>
            <w:pPr>
              <w:spacing w:line="360" w:lineRule="auto"/>
              <w:jc w:val="center"/>
              <w:rPr>
                <w:rFonts w:hint="eastAsia" w:ascii="宋体" w:hAnsi="宋体" w:cs="宋体"/>
                <w:bCs/>
                <w:sz w:val="28"/>
                <w:szCs w:val="28"/>
              </w:rPr>
            </w:pPr>
          </w:p>
        </w:tc>
        <w:tc>
          <w:tcPr>
            <w:tcW w:w="2117" w:type="dxa"/>
            <w:noWrap w:val="0"/>
            <w:vAlign w:val="center"/>
          </w:tcPr>
          <w:p>
            <w:pPr>
              <w:spacing w:line="360" w:lineRule="auto"/>
              <w:jc w:val="center"/>
              <w:rPr>
                <w:rFonts w:hint="eastAsia" w:ascii="宋体" w:hAnsi="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617" w:type="dxa"/>
            <w:noWrap w:val="0"/>
            <w:vAlign w:val="center"/>
          </w:tcPr>
          <w:p>
            <w:pPr>
              <w:spacing w:line="360" w:lineRule="auto"/>
              <w:jc w:val="center"/>
              <w:rPr>
                <w:rFonts w:hint="eastAsia" w:ascii="宋体" w:hAnsi="宋体" w:cs="宋体"/>
                <w:bCs/>
                <w:sz w:val="28"/>
                <w:szCs w:val="28"/>
              </w:rPr>
            </w:pPr>
            <w:r>
              <w:rPr>
                <w:rFonts w:hint="eastAsia" w:ascii="宋体" w:hAnsi="宋体" w:cs="宋体"/>
                <w:bCs/>
                <w:sz w:val="28"/>
                <w:szCs w:val="28"/>
              </w:rPr>
              <w:t>质量管理负责人</w:t>
            </w:r>
          </w:p>
        </w:tc>
        <w:tc>
          <w:tcPr>
            <w:tcW w:w="3050" w:type="dxa"/>
            <w:noWrap w:val="0"/>
            <w:vAlign w:val="center"/>
          </w:tcPr>
          <w:p>
            <w:pPr>
              <w:spacing w:line="360" w:lineRule="auto"/>
              <w:jc w:val="center"/>
              <w:rPr>
                <w:rFonts w:hint="eastAsia" w:ascii="宋体" w:hAnsi="宋体" w:cs="宋体"/>
                <w:bCs/>
                <w:sz w:val="28"/>
                <w:szCs w:val="28"/>
              </w:rPr>
            </w:pPr>
            <w:r>
              <w:rPr>
                <w:rFonts w:hint="eastAsia" w:ascii="宋体" w:hAnsi="宋体" w:cs="宋体"/>
                <w:bCs/>
                <w:sz w:val="28"/>
                <w:szCs w:val="28"/>
              </w:rPr>
              <w:t>负责URS文件审核</w:t>
            </w:r>
          </w:p>
        </w:tc>
        <w:tc>
          <w:tcPr>
            <w:tcW w:w="1850" w:type="dxa"/>
            <w:noWrap w:val="0"/>
            <w:vAlign w:val="center"/>
          </w:tcPr>
          <w:p>
            <w:pPr>
              <w:spacing w:line="360" w:lineRule="auto"/>
              <w:jc w:val="center"/>
              <w:rPr>
                <w:rFonts w:hint="eastAsia" w:ascii="宋体" w:hAnsi="宋体" w:cs="宋体"/>
                <w:bCs/>
                <w:sz w:val="28"/>
                <w:szCs w:val="28"/>
              </w:rPr>
            </w:pPr>
          </w:p>
        </w:tc>
        <w:tc>
          <w:tcPr>
            <w:tcW w:w="2117" w:type="dxa"/>
            <w:noWrap w:val="0"/>
            <w:vAlign w:val="center"/>
          </w:tcPr>
          <w:p>
            <w:pPr>
              <w:spacing w:line="360" w:lineRule="auto"/>
              <w:jc w:val="center"/>
              <w:rPr>
                <w:rFonts w:hint="eastAsia" w:ascii="宋体" w:hAnsi="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 w:hRule="atLeast"/>
        </w:trPr>
        <w:tc>
          <w:tcPr>
            <w:tcW w:w="2617" w:type="dxa"/>
            <w:noWrap w:val="0"/>
            <w:vAlign w:val="center"/>
          </w:tcPr>
          <w:p>
            <w:pPr>
              <w:spacing w:line="360" w:lineRule="auto"/>
              <w:jc w:val="center"/>
              <w:rPr>
                <w:rFonts w:hint="eastAsia" w:ascii="宋体" w:hAnsi="宋体" w:cs="宋体"/>
                <w:bCs/>
                <w:sz w:val="28"/>
                <w:szCs w:val="28"/>
              </w:rPr>
            </w:pPr>
            <w:r>
              <w:rPr>
                <w:rFonts w:hint="eastAsia" w:ascii="宋体" w:hAnsi="宋体" w:cs="宋体"/>
                <w:bCs/>
                <w:sz w:val="28"/>
                <w:szCs w:val="28"/>
              </w:rPr>
              <w:t>批准人</w:t>
            </w:r>
          </w:p>
        </w:tc>
        <w:tc>
          <w:tcPr>
            <w:tcW w:w="3050" w:type="dxa"/>
            <w:noWrap w:val="0"/>
            <w:vAlign w:val="center"/>
          </w:tcPr>
          <w:p>
            <w:pPr>
              <w:spacing w:line="360" w:lineRule="auto"/>
              <w:jc w:val="center"/>
              <w:rPr>
                <w:rFonts w:hint="eastAsia" w:ascii="宋体" w:hAnsi="宋体" w:cs="宋体"/>
                <w:bCs/>
                <w:sz w:val="28"/>
                <w:szCs w:val="28"/>
              </w:rPr>
            </w:pPr>
            <w:r>
              <w:rPr>
                <w:rFonts w:hint="eastAsia" w:ascii="宋体" w:hAnsi="宋体" w:cs="宋体"/>
                <w:bCs/>
                <w:sz w:val="28"/>
                <w:szCs w:val="28"/>
              </w:rPr>
              <w:t>审核、批准URS文件</w:t>
            </w:r>
          </w:p>
        </w:tc>
        <w:tc>
          <w:tcPr>
            <w:tcW w:w="1850" w:type="dxa"/>
            <w:noWrap w:val="0"/>
            <w:vAlign w:val="center"/>
          </w:tcPr>
          <w:p>
            <w:pPr>
              <w:spacing w:line="360" w:lineRule="auto"/>
              <w:jc w:val="center"/>
              <w:rPr>
                <w:rFonts w:hint="eastAsia" w:ascii="宋体" w:hAnsi="宋体" w:cs="宋体"/>
                <w:bCs/>
                <w:sz w:val="28"/>
                <w:szCs w:val="28"/>
              </w:rPr>
            </w:pPr>
          </w:p>
        </w:tc>
        <w:tc>
          <w:tcPr>
            <w:tcW w:w="2117" w:type="dxa"/>
            <w:noWrap w:val="0"/>
            <w:vAlign w:val="center"/>
          </w:tcPr>
          <w:p>
            <w:pPr>
              <w:spacing w:line="360" w:lineRule="auto"/>
              <w:jc w:val="center"/>
              <w:rPr>
                <w:rFonts w:hint="eastAsia" w:ascii="宋体" w:hAnsi="宋体" w:cs="宋体"/>
                <w:bCs/>
                <w:sz w:val="28"/>
                <w:szCs w:val="28"/>
              </w:rPr>
            </w:pPr>
          </w:p>
        </w:tc>
      </w:tr>
    </w:tbl>
    <w:p>
      <w:pPr>
        <w:jc w:val="both"/>
        <w:rPr>
          <w:rFonts w:hint="eastAsia"/>
          <w:b/>
          <w:color w:val="auto"/>
          <w:sz w:val="28"/>
          <w:szCs w:val="28"/>
        </w:rPr>
      </w:pPr>
    </w:p>
    <w:p>
      <w:pPr>
        <w:jc w:val="both"/>
        <w:rPr>
          <w:rFonts w:hint="eastAsia"/>
          <w:b/>
          <w:color w:val="auto"/>
          <w:sz w:val="28"/>
          <w:szCs w:val="28"/>
        </w:rPr>
      </w:pPr>
    </w:p>
    <w:p>
      <w:pPr>
        <w:jc w:val="both"/>
        <w:rPr>
          <w:rFonts w:hint="eastAsia"/>
          <w:b/>
          <w:color w:val="auto"/>
          <w:sz w:val="28"/>
          <w:szCs w:val="28"/>
        </w:rPr>
      </w:pPr>
    </w:p>
    <w:p>
      <w:pPr>
        <w:jc w:val="both"/>
        <w:rPr>
          <w:rFonts w:hint="eastAsia"/>
          <w:b/>
          <w:color w:val="auto"/>
          <w:sz w:val="28"/>
          <w:szCs w:val="28"/>
        </w:rPr>
      </w:pPr>
    </w:p>
    <w:p>
      <w:pPr>
        <w:jc w:val="both"/>
        <w:rPr>
          <w:rFonts w:hint="eastAsia"/>
          <w:b/>
          <w:color w:val="auto"/>
          <w:sz w:val="28"/>
          <w:szCs w:val="28"/>
        </w:rPr>
      </w:pPr>
    </w:p>
    <w:p>
      <w:pPr>
        <w:jc w:val="both"/>
        <w:rPr>
          <w:rFonts w:hint="eastAsia"/>
          <w:b/>
          <w:color w:val="auto"/>
          <w:sz w:val="28"/>
          <w:szCs w:val="28"/>
        </w:rPr>
      </w:pPr>
    </w:p>
    <w:p>
      <w:pPr>
        <w:jc w:val="both"/>
        <w:rPr>
          <w:rFonts w:hint="eastAsia"/>
          <w:b/>
          <w:color w:val="auto"/>
          <w:sz w:val="28"/>
          <w:szCs w:val="28"/>
        </w:rPr>
        <w:sectPr>
          <w:headerReference r:id="rId7" w:type="first"/>
          <w:footerReference r:id="rId9" w:type="first"/>
          <w:footerReference r:id="rId8" w:type="default"/>
          <w:pgSz w:w="11906" w:h="16838"/>
          <w:pgMar w:top="1440" w:right="1080" w:bottom="1440" w:left="1080" w:header="851" w:footer="992" w:gutter="0"/>
          <w:pgNumType w:fmt="decimal" w:start="2"/>
          <w:cols w:space="720" w:num="1"/>
          <w:titlePg/>
          <w:docGrid w:type="lines" w:linePitch="312" w:charSpace="0"/>
        </w:sectPr>
      </w:pPr>
    </w:p>
    <w:p>
      <w:pPr>
        <w:pStyle w:val="9"/>
        <w:tabs>
          <w:tab w:val="right" w:leader="dot" w:pos="8312"/>
        </w:tabs>
        <w:jc w:val="center"/>
        <w:rPr>
          <w:rFonts w:hint="eastAsia" w:eastAsia="宋体"/>
          <w:b/>
          <w:color w:val="auto"/>
          <w:sz w:val="32"/>
          <w:szCs w:val="32"/>
          <w:lang w:val="en-US" w:eastAsia="zh-CN"/>
        </w:rPr>
      </w:pPr>
      <w:r>
        <w:rPr>
          <w:rFonts w:hint="eastAsia"/>
          <w:b/>
          <w:color w:val="auto"/>
          <w:sz w:val="32"/>
          <w:szCs w:val="32"/>
          <w:lang w:val="en-US" w:eastAsia="zh-CN"/>
        </w:rPr>
        <w:t>目录</w:t>
      </w:r>
    </w:p>
    <w:p>
      <w:pPr>
        <w:pStyle w:val="9"/>
        <w:tabs>
          <w:tab w:val="right" w:leader="dot" w:pos="9746"/>
        </w:tabs>
        <w:rPr>
          <w:b/>
          <w:bCs/>
          <w:sz w:val="28"/>
          <w:szCs w:val="28"/>
        </w:rPr>
      </w:pPr>
      <w:r>
        <w:rPr>
          <w:rFonts w:hint="eastAsia" w:ascii="宋体" w:hAnsi="宋体" w:eastAsia="宋体" w:cs="宋体"/>
          <w:b/>
          <w:color w:val="auto"/>
          <w:sz w:val="28"/>
          <w:szCs w:val="28"/>
        </w:rPr>
        <w:fldChar w:fldCharType="begin"/>
      </w:r>
      <w:r>
        <w:rPr>
          <w:rFonts w:hint="eastAsia" w:ascii="宋体" w:hAnsi="宋体" w:eastAsia="宋体" w:cs="宋体"/>
          <w:b/>
          <w:color w:val="auto"/>
          <w:sz w:val="28"/>
          <w:szCs w:val="28"/>
        </w:rPr>
        <w:instrText xml:space="preserve">TOC \o "1-1" \h \u </w:instrText>
      </w:r>
      <w:r>
        <w:rPr>
          <w:rFonts w:hint="eastAsia" w:ascii="宋体" w:hAnsi="宋体" w:eastAsia="宋体" w:cs="宋体"/>
          <w:b/>
          <w:color w:val="auto"/>
          <w:sz w:val="28"/>
          <w:szCs w:val="28"/>
        </w:rPr>
        <w:fldChar w:fldCharType="separate"/>
      </w:r>
      <w:r>
        <w:rPr>
          <w:rFonts w:hint="eastAsia" w:ascii="宋体" w:hAnsi="宋体" w:eastAsia="宋体" w:cs="宋体"/>
          <w:b/>
          <w:bCs/>
          <w:color w:val="auto"/>
          <w:sz w:val="28"/>
          <w:szCs w:val="28"/>
        </w:rPr>
        <w:fldChar w:fldCharType="begin"/>
      </w:r>
      <w:r>
        <w:rPr>
          <w:rFonts w:hint="eastAsia" w:ascii="宋体" w:hAnsi="宋体" w:eastAsia="宋体" w:cs="宋体"/>
          <w:b/>
          <w:bCs/>
          <w:sz w:val="28"/>
          <w:szCs w:val="28"/>
        </w:rPr>
        <w:instrText xml:space="preserve"> HYPERLINK \l _Toc23370 </w:instrText>
      </w:r>
      <w:r>
        <w:rPr>
          <w:rFonts w:hint="eastAsia" w:ascii="宋体" w:hAnsi="宋体" w:eastAsia="宋体" w:cs="宋体"/>
          <w:b/>
          <w:bCs/>
          <w:sz w:val="28"/>
          <w:szCs w:val="28"/>
        </w:rPr>
        <w:fldChar w:fldCharType="separate"/>
      </w:r>
      <w:r>
        <w:rPr>
          <w:rFonts w:hint="eastAsia"/>
          <w:b/>
          <w:bCs/>
          <w:kern w:val="0"/>
          <w:sz w:val="28"/>
          <w:szCs w:val="28"/>
          <w:lang w:val="en-US" w:eastAsia="zh-CN"/>
        </w:rPr>
        <w:t>1.</w:t>
      </w:r>
      <w:r>
        <w:rPr>
          <w:rFonts w:hint="eastAsia"/>
          <w:b/>
          <w:bCs/>
          <w:kern w:val="0"/>
          <w:sz w:val="28"/>
          <w:szCs w:val="28"/>
          <w:lang w:eastAsia="zh-CN"/>
        </w:rPr>
        <w:t>简介</w:t>
      </w:r>
      <w:r>
        <w:rPr>
          <w:b/>
          <w:bCs/>
          <w:sz w:val="28"/>
          <w:szCs w:val="28"/>
        </w:rPr>
        <w:tab/>
      </w:r>
      <w:r>
        <w:rPr>
          <w:b/>
          <w:bCs/>
          <w:sz w:val="28"/>
          <w:szCs w:val="28"/>
        </w:rPr>
        <w:fldChar w:fldCharType="begin"/>
      </w:r>
      <w:r>
        <w:rPr>
          <w:b/>
          <w:bCs/>
          <w:sz w:val="28"/>
          <w:szCs w:val="28"/>
        </w:rPr>
        <w:instrText xml:space="preserve"> PAGEREF _Toc23370 \h </w:instrText>
      </w:r>
      <w:r>
        <w:rPr>
          <w:b/>
          <w:bCs/>
          <w:sz w:val="28"/>
          <w:szCs w:val="28"/>
        </w:rPr>
        <w:fldChar w:fldCharType="separate"/>
      </w:r>
      <w:r>
        <w:rPr>
          <w:b/>
          <w:bCs/>
          <w:sz w:val="28"/>
          <w:szCs w:val="28"/>
        </w:rPr>
        <w:t>4</w:t>
      </w:r>
      <w:r>
        <w:rPr>
          <w:b/>
          <w:bCs/>
          <w:sz w:val="28"/>
          <w:szCs w:val="28"/>
        </w:rPr>
        <w:fldChar w:fldCharType="end"/>
      </w:r>
      <w:r>
        <w:rPr>
          <w:rFonts w:hint="eastAsia" w:ascii="宋体" w:hAnsi="宋体" w:eastAsia="宋体" w:cs="宋体"/>
          <w:b/>
          <w:bCs/>
          <w:color w:val="auto"/>
          <w:sz w:val="28"/>
          <w:szCs w:val="28"/>
        </w:rPr>
        <w:fldChar w:fldCharType="end"/>
      </w:r>
    </w:p>
    <w:p>
      <w:pPr>
        <w:pStyle w:val="9"/>
        <w:tabs>
          <w:tab w:val="right" w:leader="dot" w:pos="9746"/>
        </w:tabs>
        <w:rPr>
          <w:b/>
          <w:bCs/>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sz w:val="28"/>
          <w:szCs w:val="28"/>
        </w:rPr>
        <w:instrText xml:space="preserve"> HYPERLINK \l _Toc27433 </w:instrText>
      </w:r>
      <w:r>
        <w:rPr>
          <w:rFonts w:hint="eastAsia" w:ascii="宋体" w:hAnsi="宋体" w:eastAsia="宋体" w:cs="宋体"/>
          <w:b/>
          <w:bCs/>
          <w:sz w:val="28"/>
          <w:szCs w:val="28"/>
        </w:rPr>
        <w:fldChar w:fldCharType="separate"/>
      </w:r>
      <w:r>
        <w:rPr>
          <w:rFonts w:hint="eastAsia"/>
          <w:b/>
          <w:bCs/>
          <w:kern w:val="0"/>
          <w:sz w:val="28"/>
          <w:szCs w:val="28"/>
          <w:lang w:val="en-US" w:eastAsia="zh-CN"/>
        </w:rPr>
        <w:t>2.职责</w:t>
      </w:r>
      <w:r>
        <w:rPr>
          <w:b/>
          <w:bCs/>
          <w:sz w:val="28"/>
          <w:szCs w:val="28"/>
        </w:rPr>
        <w:tab/>
      </w:r>
      <w:r>
        <w:rPr>
          <w:b/>
          <w:bCs/>
          <w:sz w:val="28"/>
          <w:szCs w:val="28"/>
        </w:rPr>
        <w:fldChar w:fldCharType="begin"/>
      </w:r>
      <w:r>
        <w:rPr>
          <w:b/>
          <w:bCs/>
          <w:sz w:val="28"/>
          <w:szCs w:val="28"/>
        </w:rPr>
        <w:instrText xml:space="preserve"> PAGEREF _Toc27433 \h </w:instrText>
      </w:r>
      <w:r>
        <w:rPr>
          <w:b/>
          <w:bCs/>
          <w:sz w:val="28"/>
          <w:szCs w:val="28"/>
        </w:rPr>
        <w:fldChar w:fldCharType="separate"/>
      </w:r>
      <w:r>
        <w:rPr>
          <w:b/>
          <w:bCs/>
          <w:sz w:val="28"/>
          <w:szCs w:val="28"/>
        </w:rPr>
        <w:t>5</w:t>
      </w:r>
      <w:r>
        <w:rPr>
          <w:b/>
          <w:bCs/>
          <w:sz w:val="28"/>
          <w:szCs w:val="28"/>
        </w:rPr>
        <w:fldChar w:fldCharType="end"/>
      </w:r>
      <w:r>
        <w:rPr>
          <w:rFonts w:hint="eastAsia" w:ascii="宋体" w:hAnsi="宋体" w:eastAsia="宋体" w:cs="宋体"/>
          <w:b/>
          <w:bCs/>
          <w:color w:val="auto"/>
          <w:sz w:val="28"/>
          <w:szCs w:val="28"/>
        </w:rPr>
        <w:fldChar w:fldCharType="end"/>
      </w:r>
    </w:p>
    <w:p>
      <w:pPr>
        <w:pStyle w:val="9"/>
        <w:tabs>
          <w:tab w:val="right" w:leader="dot" w:pos="9746"/>
        </w:tabs>
        <w:rPr>
          <w:b/>
          <w:bCs/>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sz w:val="28"/>
          <w:szCs w:val="28"/>
        </w:rPr>
        <w:instrText xml:space="preserve"> HYPERLINK \l _Toc20935 </w:instrText>
      </w:r>
      <w:r>
        <w:rPr>
          <w:rFonts w:hint="eastAsia" w:ascii="宋体" w:hAnsi="宋体" w:eastAsia="宋体" w:cs="宋体"/>
          <w:b/>
          <w:bCs/>
          <w:sz w:val="28"/>
          <w:szCs w:val="28"/>
        </w:rPr>
        <w:fldChar w:fldCharType="separate"/>
      </w:r>
      <w:r>
        <w:rPr>
          <w:rFonts w:hint="eastAsia"/>
          <w:b/>
          <w:bCs/>
          <w:kern w:val="0"/>
          <w:sz w:val="28"/>
          <w:szCs w:val="28"/>
          <w:lang w:val="en-US" w:eastAsia="zh-CN"/>
        </w:rPr>
        <w:t>3.制定依据</w:t>
      </w:r>
      <w:r>
        <w:rPr>
          <w:b/>
          <w:bCs/>
          <w:sz w:val="28"/>
          <w:szCs w:val="28"/>
        </w:rPr>
        <w:tab/>
      </w:r>
      <w:r>
        <w:rPr>
          <w:b/>
          <w:bCs/>
          <w:sz w:val="28"/>
          <w:szCs w:val="28"/>
        </w:rPr>
        <w:fldChar w:fldCharType="begin"/>
      </w:r>
      <w:r>
        <w:rPr>
          <w:b/>
          <w:bCs/>
          <w:sz w:val="28"/>
          <w:szCs w:val="28"/>
        </w:rPr>
        <w:instrText xml:space="preserve"> PAGEREF _Toc20935 \h </w:instrText>
      </w:r>
      <w:r>
        <w:rPr>
          <w:b/>
          <w:bCs/>
          <w:sz w:val="28"/>
          <w:szCs w:val="28"/>
        </w:rPr>
        <w:fldChar w:fldCharType="separate"/>
      </w:r>
      <w:r>
        <w:rPr>
          <w:b/>
          <w:bCs/>
          <w:sz w:val="28"/>
          <w:szCs w:val="28"/>
        </w:rPr>
        <w:t>5</w:t>
      </w:r>
      <w:r>
        <w:rPr>
          <w:b/>
          <w:bCs/>
          <w:sz w:val="28"/>
          <w:szCs w:val="28"/>
        </w:rPr>
        <w:fldChar w:fldCharType="end"/>
      </w:r>
      <w:r>
        <w:rPr>
          <w:rFonts w:hint="eastAsia" w:ascii="宋体" w:hAnsi="宋体" w:eastAsia="宋体" w:cs="宋体"/>
          <w:b/>
          <w:bCs/>
          <w:color w:val="auto"/>
          <w:sz w:val="28"/>
          <w:szCs w:val="28"/>
        </w:rPr>
        <w:fldChar w:fldCharType="end"/>
      </w:r>
    </w:p>
    <w:p>
      <w:pPr>
        <w:pStyle w:val="9"/>
        <w:tabs>
          <w:tab w:val="right" w:leader="dot" w:pos="9746"/>
        </w:tabs>
        <w:rPr>
          <w:b/>
          <w:bCs/>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sz w:val="28"/>
          <w:szCs w:val="28"/>
        </w:rPr>
        <w:instrText xml:space="preserve"> HYPERLINK \l _Toc22574 </w:instrText>
      </w:r>
      <w:r>
        <w:rPr>
          <w:rFonts w:hint="eastAsia" w:ascii="宋体" w:hAnsi="宋体" w:eastAsia="宋体" w:cs="宋体"/>
          <w:b/>
          <w:bCs/>
          <w:sz w:val="28"/>
          <w:szCs w:val="28"/>
        </w:rPr>
        <w:fldChar w:fldCharType="separate"/>
      </w:r>
      <w:r>
        <w:rPr>
          <w:rFonts w:hint="eastAsia"/>
          <w:b/>
          <w:bCs/>
          <w:kern w:val="0"/>
          <w:sz w:val="28"/>
          <w:szCs w:val="28"/>
          <w:lang w:val="en-US" w:eastAsia="zh-CN"/>
        </w:rPr>
        <w:t>4.用户需求标准</w:t>
      </w:r>
      <w:r>
        <w:rPr>
          <w:b/>
          <w:bCs/>
          <w:sz w:val="28"/>
          <w:szCs w:val="28"/>
        </w:rPr>
        <w:tab/>
      </w:r>
      <w:r>
        <w:rPr>
          <w:b/>
          <w:bCs/>
          <w:sz w:val="28"/>
          <w:szCs w:val="28"/>
        </w:rPr>
        <w:fldChar w:fldCharType="begin"/>
      </w:r>
      <w:r>
        <w:rPr>
          <w:b/>
          <w:bCs/>
          <w:sz w:val="28"/>
          <w:szCs w:val="28"/>
        </w:rPr>
        <w:instrText xml:space="preserve"> PAGEREF _Toc22574 \h </w:instrText>
      </w:r>
      <w:r>
        <w:rPr>
          <w:b/>
          <w:bCs/>
          <w:sz w:val="28"/>
          <w:szCs w:val="28"/>
        </w:rPr>
        <w:fldChar w:fldCharType="separate"/>
      </w:r>
      <w:r>
        <w:rPr>
          <w:b/>
          <w:bCs/>
          <w:sz w:val="28"/>
          <w:szCs w:val="28"/>
        </w:rPr>
        <w:t>6</w:t>
      </w:r>
      <w:r>
        <w:rPr>
          <w:b/>
          <w:bCs/>
          <w:sz w:val="28"/>
          <w:szCs w:val="28"/>
        </w:rPr>
        <w:fldChar w:fldCharType="end"/>
      </w:r>
      <w:r>
        <w:rPr>
          <w:rFonts w:hint="eastAsia" w:ascii="宋体" w:hAnsi="宋体" w:eastAsia="宋体" w:cs="宋体"/>
          <w:b/>
          <w:bCs/>
          <w:color w:val="auto"/>
          <w:sz w:val="28"/>
          <w:szCs w:val="28"/>
        </w:rPr>
        <w:fldChar w:fldCharType="end"/>
      </w:r>
    </w:p>
    <w:p>
      <w:pPr>
        <w:pStyle w:val="9"/>
        <w:tabs>
          <w:tab w:val="right" w:leader="dot" w:pos="9746"/>
        </w:tabs>
        <w:rPr>
          <w:b/>
          <w:bCs/>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sz w:val="28"/>
          <w:szCs w:val="28"/>
        </w:rPr>
        <w:instrText xml:space="preserve"> HYPERLINK \l _Toc10254 </w:instrText>
      </w:r>
      <w:r>
        <w:rPr>
          <w:rFonts w:hint="eastAsia" w:ascii="宋体" w:hAnsi="宋体" w:eastAsia="宋体" w:cs="宋体"/>
          <w:b/>
          <w:bCs/>
          <w:sz w:val="28"/>
          <w:szCs w:val="28"/>
        </w:rPr>
        <w:fldChar w:fldCharType="separate"/>
      </w:r>
      <w:r>
        <w:rPr>
          <w:rFonts w:hint="eastAsia"/>
          <w:b/>
          <w:bCs/>
          <w:kern w:val="0"/>
          <w:sz w:val="28"/>
          <w:szCs w:val="28"/>
          <w:lang w:val="en-US" w:eastAsia="zh-CN"/>
        </w:rPr>
        <w:t>5.术语表</w:t>
      </w:r>
      <w:r>
        <w:rPr>
          <w:b/>
          <w:bCs/>
          <w:sz w:val="28"/>
          <w:szCs w:val="28"/>
        </w:rPr>
        <w:tab/>
      </w:r>
      <w:r>
        <w:rPr>
          <w:b/>
          <w:bCs/>
          <w:sz w:val="28"/>
          <w:szCs w:val="28"/>
        </w:rPr>
        <w:fldChar w:fldCharType="begin"/>
      </w:r>
      <w:r>
        <w:rPr>
          <w:b/>
          <w:bCs/>
          <w:sz w:val="28"/>
          <w:szCs w:val="28"/>
        </w:rPr>
        <w:instrText xml:space="preserve"> PAGEREF _Toc10254 \h </w:instrText>
      </w:r>
      <w:r>
        <w:rPr>
          <w:b/>
          <w:bCs/>
          <w:sz w:val="28"/>
          <w:szCs w:val="28"/>
        </w:rPr>
        <w:fldChar w:fldCharType="separate"/>
      </w:r>
      <w:r>
        <w:rPr>
          <w:b/>
          <w:bCs/>
          <w:sz w:val="28"/>
          <w:szCs w:val="28"/>
        </w:rPr>
        <w:t>17</w:t>
      </w:r>
      <w:r>
        <w:rPr>
          <w:b/>
          <w:bCs/>
          <w:sz w:val="28"/>
          <w:szCs w:val="28"/>
        </w:rPr>
        <w:fldChar w:fldCharType="end"/>
      </w:r>
      <w:r>
        <w:rPr>
          <w:rFonts w:hint="eastAsia" w:ascii="宋体" w:hAnsi="宋体" w:eastAsia="宋体" w:cs="宋体"/>
          <w:b/>
          <w:bCs/>
          <w:color w:val="auto"/>
          <w:sz w:val="28"/>
          <w:szCs w:val="28"/>
        </w:rPr>
        <w:fldChar w:fldCharType="end"/>
      </w:r>
    </w:p>
    <w:p>
      <w:pPr>
        <w:pStyle w:val="9"/>
        <w:tabs>
          <w:tab w:val="right" w:leader="dot" w:pos="9746"/>
        </w:tabs>
      </w:pPr>
      <w:r>
        <w:rPr>
          <w:rFonts w:hint="eastAsia" w:ascii="宋体" w:hAnsi="宋体" w:eastAsia="宋体" w:cs="宋体"/>
          <w:b/>
          <w:bCs/>
          <w:color w:val="auto"/>
          <w:sz w:val="28"/>
          <w:szCs w:val="28"/>
        </w:rPr>
        <w:fldChar w:fldCharType="begin"/>
      </w:r>
      <w:r>
        <w:rPr>
          <w:rFonts w:hint="eastAsia" w:ascii="宋体" w:hAnsi="宋体" w:eastAsia="宋体" w:cs="宋体"/>
          <w:b/>
          <w:bCs/>
          <w:sz w:val="28"/>
          <w:szCs w:val="28"/>
        </w:rPr>
        <w:instrText xml:space="preserve"> HYPERLINK \l _Toc28744 </w:instrText>
      </w:r>
      <w:r>
        <w:rPr>
          <w:rFonts w:hint="eastAsia" w:ascii="宋体" w:hAnsi="宋体" w:eastAsia="宋体" w:cs="宋体"/>
          <w:b/>
          <w:bCs/>
          <w:sz w:val="28"/>
          <w:szCs w:val="28"/>
        </w:rPr>
        <w:fldChar w:fldCharType="separate"/>
      </w:r>
      <w:r>
        <w:rPr>
          <w:rFonts w:hint="eastAsia"/>
          <w:b/>
          <w:bCs/>
          <w:kern w:val="0"/>
          <w:sz w:val="28"/>
          <w:szCs w:val="28"/>
          <w:lang w:val="en-US" w:eastAsia="zh-CN"/>
        </w:rPr>
        <w:t>6.修订历史</w:t>
      </w:r>
      <w:r>
        <w:rPr>
          <w:b/>
          <w:bCs/>
          <w:sz w:val="28"/>
          <w:szCs w:val="28"/>
        </w:rPr>
        <w:tab/>
      </w:r>
      <w:r>
        <w:rPr>
          <w:b/>
          <w:bCs/>
          <w:sz w:val="28"/>
          <w:szCs w:val="28"/>
        </w:rPr>
        <w:fldChar w:fldCharType="begin"/>
      </w:r>
      <w:r>
        <w:rPr>
          <w:b/>
          <w:bCs/>
          <w:sz w:val="28"/>
          <w:szCs w:val="28"/>
        </w:rPr>
        <w:instrText xml:space="preserve"> PAGEREF _Toc28744 \h </w:instrText>
      </w:r>
      <w:r>
        <w:rPr>
          <w:b/>
          <w:bCs/>
          <w:sz w:val="28"/>
          <w:szCs w:val="28"/>
        </w:rPr>
        <w:fldChar w:fldCharType="separate"/>
      </w:r>
      <w:r>
        <w:rPr>
          <w:b/>
          <w:bCs/>
          <w:sz w:val="28"/>
          <w:szCs w:val="28"/>
        </w:rPr>
        <w:t>18</w:t>
      </w:r>
      <w:r>
        <w:rPr>
          <w:b/>
          <w:bCs/>
          <w:sz w:val="28"/>
          <w:szCs w:val="28"/>
        </w:rPr>
        <w:fldChar w:fldCharType="end"/>
      </w:r>
      <w:r>
        <w:rPr>
          <w:rFonts w:hint="eastAsia" w:ascii="宋体" w:hAnsi="宋体" w:eastAsia="宋体" w:cs="宋体"/>
          <w:b/>
          <w:bCs/>
          <w:color w:val="auto"/>
          <w:sz w:val="28"/>
          <w:szCs w:val="28"/>
        </w:rPr>
        <w:fldChar w:fldCharType="end"/>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b/>
          <w:color w:val="auto"/>
          <w:sz w:val="28"/>
          <w:szCs w:val="28"/>
        </w:rPr>
      </w:pPr>
      <w:r>
        <w:rPr>
          <w:rFonts w:hint="eastAsia" w:ascii="宋体" w:hAnsi="宋体" w:eastAsia="宋体" w:cs="宋体"/>
          <w:color w:val="auto"/>
          <w:szCs w:val="28"/>
        </w:rPr>
        <w:fldChar w:fldCharType="end"/>
      </w:r>
    </w:p>
    <w:p>
      <w:pPr>
        <w:jc w:val="center"/>
        <w:rPr>
          <w:rFonts w:hint="eastAsia"/>
          <w:b/>
          <w:color w:val="auto"/>
          <w:sz w:val="28"/>
          <w:szCs w:val="28"/>
        </w:rPr>
      </w:pPr>
    </w:p>
    <w:p>
      <w:pPr>
        <w:jc w:val="center"/>
        <w:rPr>
          <w:rFonts w:hint="eastAsia"/>
          <w:b/>
          <w:color w:val="auto"/>
          <w:sz w:val="28"/>
          <w:szCs w:val="28"/>
        </w:rPr>
      </w:pPr>
    </w:p>
    <w:p>
      <w:pPr>
        <w:jc w:val="center"/>
        <w:rPr>
          <w:rFonts w:hint="eastAsia"/>
          <w:b/>
          <w:color w:val="auto"/>
          <w:sz w:val="28"/>
          <w:szCs w:val="28"/>
        </w:rPr>
      </w:pPr>
    </w:p>
    <w:p>
      <w:pPr>
        <w:jc w:val="center"/>
        <w:rPr>
          <w:rFonts w:hint="eastAsia"/>
          <w:b/>
          <w:color w:val="auto"/>
          <w:sz w:val="28"/>
          <w:szCs w:val="28"/>
        </w:rPr>
      </w:pPr>
    </w:p>
    <w:p>
      <w:pPr>
        <w:jc w:val="center"/>
        <w:rPr>
          <w:rFonts w:hint="eastAsia"/>
          <w:b/>
          <w:color w:val="auto"/>
          <w:sz w:val="28"/>
          <w:szCs w:val="28"/>
        </w:rPr>
      </w:pPr>
    </w:p>
    <w:p>
      <w:pPr>
        <w:jc w:val="center"/>
        <w:rPr>
          <w:rFonts w:hint="eastAsia"/>
          <w:b/>
          <w:color w:val="auto"/>
          <w:sz w:val="28"/>
          <w:szCs w:val="28"/>
        </w:rPr>
      </w:pPr>
    </w:p>
    <w:p>
      <w:pPr>
        <w:jc w:val="center"/>
        <w:rPr>
          <w:rFonts w:hint="eastAsia"/>
          <w:b/>
          <w:color w:val="auto"/>
          <w:sz w:val="28"/>
          <w:szCs w:val="28"/>
        </w:rPr>
      </w:pPr>
    </w:p>
    <w:p>
      <w:pPr>
        <w:jc w:val="center"/>
        <w:rPr>
          <w:rFonts w:hint="eastAsia"/>
          <w:b/>
          <w:color w:val="auto"/>
          <w:sz w:val="28"/>
          <w:szCs w:val="28"/>
        </w:rPr>
      </w:pPr>
    </w:p>
    <w:p>
      <w:pPr>
        <w:jc w:val="center"/>
        <w:rPr>
          <w:rFonts w:hint="eastAsia"/>
          <w:b/>
          <w:color w:val="auto"/>
          <w:sz w:val="28"/>
          <w:szCs w:val="28"/>
        </w:rPr>
      </w:pPr>
    </w:p>
    <w:p>
      <w:pPr>
        <w:jc w:val="center"/>
        <w:rPr>
          <w:rFonts w:hint="eastAsia"/>
          <w:b/>
          <w:color w:val="auto"/>
          <w:sz w:val="28"/>
          <w:szCs w:val="28"/>
        </w:rPr>
      </w:pPr>
    </w:p>
    <w:p>
      <w:pPr>
        <w:jc w:val="center"/>
        <w:rPr>
          <w:rFonts w:hint="eastAsia"/>
          <w:b/>
          <w:color w:val="auto"/>
          <w:sz w:val="28"/>
          <w:szCs w:val="28"/>
        </w:rPr>
      </w:pPr>
    </w:p>
    <w:p>
      <w:pPr>
        <w:jc w:val="center"/>
        <w:rPr>
          <w:rFonts w:hint="eastAsia"/>
          <w:b/>
          <w:color w:val="auto"/>
          <w:sz w:val="28"/>
          <w:szCs w:val="28"/>
        </w:rPr>
      </w:pPr>
    </w:p>
    <w:p>
      <w:pPr>
        <w:jc w:val="center"/>
        <w:rPr>
          <w:rFonts w:hint="eastAsia"/>
          <w:b/>
          <w:color w:val="auto"/>
          <w:sz w:val="28"/>
          <w:szCs w:val="28"/>
        </w:rPr>
      </w:pPr>
    </w:p>
    <w:p>
      <w:pPr>
        <w:jc w:val="center"/>
        <w:rPr>
          <w:rFonts w:hint="eastAsia"/>
          <w:b/>
          <w:color w:val="auto"/>
          <w:sz w:val="28"/>
          <w:szCs w:val="28"/>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right="0" w:rightChars="0" w:firstLine="0" w:firstLineChars="0"/>
        <w:jc w:val="left"/>
        <w:textAlignment w:val="top"/>
        <w:outlineLvl w:val="0"/>
        <w:rPr>
          <w:rFonts w:hint="eastAsia"/>
          <w:b/>
          <w:color w:val="auto"/>
          <w:kern w:val="0"/>
          <w:sz w:val="24"/>
          <w:szCs w:val="24"/>
        </w:rPr>
      </w:pPr>
      <w:bookmarkStart w:id="0" w:name="_Toc23370"/>
      <w:r>
        <w:rPr>
          <w:rFonts w:hint="eastAsia"/>
          <w:b/>
          <w:color w:val="auto"/>
          <w:kern w:val="0"/>
          <w:sz w:val="24"/>
          <w:szCs w:val="24"/>
          <w:lang w:val="en-US" w:eastAsia="zh-CN"/>
        </w:rPr>
        <w:t>1.</w:t>
      </w:r>
      <w:r>
        <w:rPr>
          <w:rFonts w:hint="eastAsia"/>
          <w:b/>
          <w:color w:val="auto"/>
          <w:kern w:val="0"/>
          <w:sz w:val="24"/>
          <w:szCs w:val="24"/>
          <w:lang w:eastAsia="zh-CN"/>
        </w:rPr>
        <w:t>简介</w:t>
      </w:r>
      <w:bookmarkEnd w:id="0"/>
    </w:p>
    <w:p>
      <w:pPr>
        <w:numPr>
          <w:ilvl w:val="0"/>
          <w:numId w:val="0"/>
        </w:numPr>
        <w:autoSpaceDE w:val="0"/>
        <w:autoSpaceDN w:val="0"/>
        <w:adjustRightInd w:val="0"/>
        <w:spacing w:line="360" w:lineRule="auto"/>
        <w:ind w:leftChars="0"/>
        <w:jc w:val="left"/>
        <w:textAlignment w:val="top"/>
        <w:rPr>
          <w:rFonts w:hint="eastAsia" w:asciiTheme="minorEastAsia" w:hAnsiTheme="minorEastAsia" w:eastAsiaTheme="minorEastAsia" w:cstheme="minorEastAsia"/>
          <w:b w:val="0"/>
          <w:bCs w:val="0"/>
          <w:color w:val="auto"/>
          <w:kern w:val="44"/>
          <w:sz w:val="24"/>
          <w:szCs w:val="24"/>
          <w:lang w:val="en-US" w:eastAsia="zh-CN" w:bidi="ar-SA"/>
        </w:rPr>
      </w:pPr>
      <w:r>
        <w:rPr>
          <w:rFonts w:hint="eastAsia" w:ascii="Times New Roman" w:hAnsi="Arial" w:eastAsia="宋体"/>
          <w:b w:val="0"/>
          <w:bCs w:val="0"/>
          <w:color w:val="auto"/>
          <w:kern w:val="44"/>
          <w:sz w:val="24"/>
          <w:szCs w:val="24"/>
          <w:lang w:val="en-US" w:eastAsia="zh-CN" w:bidi="ar-SA"/>
        </w:rPr>
        <w:t>1.1</w:t>
      </w:r>
      <w:r>
        <w:rPr>
          <w:rFonts w:hint="eastAsia" w:asciiTheme="minorEastAsia" w:hAnsiTheme="minorEastAsia" w:eastAsiaTheme="minorEastAsia" w:cstheme="minorEastAsia"/>
          <w:b w:val="0"/>
          <w:bCs w:val="0"/>
          <w:color w:val="auto"/>
          <w:kern w:val="44"/>
          <w:sz w:val="24"/>
          <w:szCs w:val="24"/>
          <w:lang w:val="en-US" w:eastAsia="zh-CN" w:bidi="ar-SA"/>
        </w:rPr>
        <w:t>目的</w:t>
      </w:r>
    </w:p>
    <w:p>
      <w:pPr>
        <w:numPr>
          <w:ilvl w:val="0"/>
          <w:numId w:val="0"/>
        </w:numPr>
        <w:autoSpaceDE w:val="0"/>
        <w:autoSpaceDN w:val="0"/>
        <w:adjustRightInd w:val="0"/>
        <w:spacing w:line="360" w:lineRule="auto"/>
        <w:ind w:leftChars="0" w:firstLine="480" w:firstLineChars="200"/>
        <w:jc w:val="left"/>
        <w:textAlignment w:val="top"/>
        <w:rPr>
          <w:rFonts w:hint="eastAsia" w:asciiTheme="minorEastAsia" w:hAnsiTheme="minorEastAsia" w:eastAsiaTheme="minorEastAsia" w:cstheme="minorEastAsia"/>
          <w:b w:val="0"/>
          <w:bCs w:val="0"/>
          <w:color w:val="auto"/>
          <w:kern w:val="44"/>
          <w:sz w:val="24"/>
          <w:szCs w:val="24"/>
          <w:lang w:val="en-US" w:eastAsia="zh-CN" w:bidi="ar-SA"/>
        </w:rPr>
      </w:pPr>
      <w:r>
        <w:rPr>
          <w:rFonts w:hint="eastAsia" w:asciiTheme="minorEastAsia" w:hAnsiTheme="minorEastAsia" w:eastAsiaTheme="minorEastAsia" w:cstheme="minorEastAsia"/>
          <w:b w:val="0"/>
          <w:bCs w:val="0"/>
          <w:color w:val="auto"/>
          <w:kern w:val="44"/>
          <w:sz w:val="24"/>
          <w:szCs w:val="24"/>
          <w:lang w:val="en-US" w:eastAsia="zh-CN" w:bidi="ar-SA"/>
        </w:rPr>
        <w:t>本用户需求（以下简称URS）描述了压缩空气制备系统及其相关配件文件的各种基本需求。供应商应保证该设备符合本文件要求及相关标准和规范。</w:t>
      </w:r>
    </w:p>
    <w:p>
      <w:pPr>
        <w:numPr>
          <w:ilvl w:val="0"/>
          <w:numId w:val="0"/>
        </w:numPr>
        <w:autoSpaceDE w:val="0"/>
        <w:autoSpaceDN w:val="0"/>
        <w:adjustRightInd w:val="0"/>
        <w:spacing w:line="360" w:lineRule="auto"/>
        <w:ind w:leftChars="0" w:firstLine="480" w:firstLineChars="200"/>
        <w:jc w:val="left"/>
        <w:textAlignment w:val="top"/>
        <w:rPr>
          <w:rFonts w:hint="eastAsia" w:ascii="Times New Roman" w:hAnsi="Arial" w:eastAsia="宋体"/>
          <w:b w:val="0"/>
          <w:bCs w:val="0"/>
          <w:color w:val="auto"/>
          <w:kern w:val="44"/>
          <w:sz w:val="24"/>
          <w:szCs w:val="24"/>
          <w:lang w:val="en-US" w:eastAsia="zh-CN" w:bidi="ar-SA"/>
        </w:rPr>
      </w:pPr>
      <w:r>
        <w:rPr>
          <w:rFonts w:hint="eastAsia" w:asciiTheme="minorEastAsia" w:hAnsiTheme="minorEastAsia" w:eastAsiaTheme="minorEastAsia" w:cstheme="minorEastAsia"/>
          <w:b w:val="0"/>
          <w:bCs w:val="0"/>
          <w:color w:val="auto"/>
          <w:kern w:val="44"/>
          <w:sz w:val="24"/>
          <w:szCs w:val="24"/>
          <w:lang w:val="en-US" w:eastAsia="zh-CN" w:bidi="ar-SA"/>
        </w:rPr>
        <w:t>同时，这份用户要求文件也是开展后续相关招投标、采购、制造、安装、调试和验证等工作的基础</w:t>
      </w:r>
      <w:bookmarkStart w:id="1" w:name="_2._Scope范围"/>
      <w:bookmarkEnd w:id="1"/>
      <w:r>
        <w:rPr>
          <w:rFonts w:hint="eastAsia" w:asciiTheme="minorEastAsia" w:hAnsiTheme="minorEastAsia" w:eastAsiaTheme="minorEastAsia" w:cstheme="minorEastAsia"/>
          <w:b w:val="0"/>
          <w:bCs w:val="0"/>
          <w:color w:val="auto"/>
          <w:kern w:val="44"/>
          <w:sz w:val="24"/>
          <w:szCs w:val="24"/>
          <w:lang w:val="en-US" w:eastAsia="zh-CN" w:bidi="ar-SA"/>
        </w:rPr>
        <w:t>，并</w:t>
      </w:r>
      <w:r>
        <w:rPr>
          <w:rFonts w:hint="eastAsia" w:ascii="Times New Roman" w:hAnsi="Arial" w:eastAsia="宋体"/>
          <w:b w:val="0"/>
          <w:bCs w:val="0"/>
          <w:color w:val="auto"/>
          <w:kern w:val="44"/>
          <w:sz w:val="24"/>
          <w:szCs w:val="24"/>
          <w:lang w:val="en-US" w:eastAsia="zh-CN" w:bidi="ar-SA"/>
        </w:rPr>
        <w:t>作为合同的附件。</w:t>
      </w:r>
    </w:p>
    <w:p>
      <w:pPr>
        <w:numPr>
          <w:ilvl w:val="0"/>
          <w:numId w:val="0"/>
        </w:numPr>
        <w:autoSpaceDE w:val="0"/>
        <w:autoSpaceDN w:val="0"/>
        <w:adjustRightInd w:val="0"/>
        <w:spacing w:line="360" w:lineRule="auto"/>
        <w:ind w:leftChars="0"/>
        <w:jc w:val="left"/>
        <w:textAlignment w:val="top"/>
        <w:rPr>
          <w:rFonts w:hint="eastAsia" w:ascii="Times New Roman" w:hAnsi="Arial" w:eastAsia="宋体"/>
          <w:b w:val="0"/>
          <w:bCs w:val="0"/>
          <w:color w:val="auto"/>
          <w:kern w:val="44"/>
          <w:sz w:val="24"/>
          <w:szCs w:val="24"/>
          <w:lang w:val="en-US" w:eastAsia="zh-CN" w:bidi="ar-SA"/>
        </w:rPr>
      </w:pPr>
      <w:r>
        <w:rPr>
          <w:rFonts w:hint="eastAsia" w:ascii="Times New Roman" w:hAnsi="Arial" w:eastAsia="宋体"/>
          <w:b w:val="0"/>
          <w:bCs w:val="0"/>
          <w:color w:val="auto"/>
          <w:kern w:val="44"/>
          <w:sz w:val="24"/>
          <w:szCs w:val="24"/>
          <w:lang w:val="en-US" w:eastAsia="zh-CN" w:bidi="ar-SA"/>
        </w:rPr>
        <w:t>1.2范围</w:t>
      </w:r>
    </w:p>
    <w:p>
      <w:pPr>
        <w:numPr>
          <w:ilvl w:val="0"/>
          <w:numId w:val="0"/>
        </w:numPr>
        <w:autoSpaceDE w:val="0"/>
        <w:autoSpaceDN w:val="0"/>
        <w:adjustRightInd w:val="0"/>
        <w:spacing w:line="360" w:lineRule="auto"/>
        <w:ind w:leftChars="0" w:firstLine="480" w:firstLineChars="200"/>
        <w:jc w:val="left"/>
        <w:textAlignment w:val="top"/>
        <w:rPr>
          <w:rFonts w:hint="eastAsia" w:ascii="Times New Roman" w:hAnsi="Arial" w:eastAsia="宋体"/>
          <w:b w:val="0"/>
          <w:bCs w:val="0"/>
          <w:color w:val="auto"/>
          <w:kern w:val="44"/>
          <w:sz w:val="24"/>
          <w:szCs w:val="24"/>
          <w:lang w:val="en-US" w:eastAsia="zh-CN" w:bidi="ar-SA"/>
        </w:rPr>
      </w:pPr>
      <w:r>
        <w:rPr>
          <w:rFonts w:hint="eastAsia" w:hAnsi="Arial"/>
          <w:b w:val="0"/>
          <w:bCs w:val="0"/>
          <w:color w:val="auto"/>
          <w:kern w:val="44"/>
          <w:sz w:val="24"/>
          <w:szCs w:val="24"/>
          <w:lang w:val="en-US" w:eastAsia="zh-CN" w:bidi="ar-SA"/>
        </w:rPr>
        <w:t>本</w:t>
      </w:r>
      <w:r>
        <w:rPr>
          <w:rFonts w:hint="eastAsia" w:ascii="Times New Roman" w:hAnsi="Arial" w:eastAsia="宋体"/>
          <w:b w:val="0"/>
          <w:bCs w:val="0"/>
          <w:color w:val="auto"/>
          <w:kern w:val="44"/>
          <w:sz w:val="24"/>
          <w:szCs w:val="24"/>
          <w:lang w:val="en-US" w:eastAsia="zh-CN" w:bidi="ar-SA"/>
        </w:rPr>
        <w:t>URS仅适用于</w:t>
      </w:r>
      <w:r>
        <w:rPr>
          <w:rFonts w:hint="eastAsia" w:ascii="Times New Roman" w:hAnsi="Arial"/>
          <w:b w:val="0"/>
          <w:bCs w:val="0"/>
          <w:color w:val="auto"/>
          <w:kern w:val="44"/>
          <w:sz w:val="24"/>
          <w:szCs w:val="24"/>
          <w:lang w:val="en-US" w:eastAsia="zh-CN" w:bidi="ar-SA"/>
        </w:rPr>
        <w:t>药大制药有限公司</w:t>
      </w:r>
      <w:r>
        <w:rPr>
          <w:rFonts w:hint="eastAsia" w:hAnsi="Arial"/>
          <w:b w:val="0"/>
          <w:bCs w:val="0"/>
          <w:color w:val="auto"/>
          <w:kern w:val="44"/>
          <w:sz w:val="24"/>
          <w:szCs w:val="24"/>
          <w:lang w:val="en-US" w:eastAsia="zh-CN" w:bidi="ar-SA"/>
        </w:rPr>
        <w:t>（</w:t>
      </w:r>
      <w:r>
        <w:rPr>
          <w:rFonts w:hint="eastAsia" w:ascii="Times New Roman" w:hAnsi="Arial"/>
          <w:b w:val="0"/>
          <w:bCs w:val="0"/>
          <w:color w:val="auto"/>
          <w:kern w:val="44"/>
          <w:sz w:val="24"/>
          <w:szCs w:val="24"/>
          <w:lang w:val="en-US" w:eastAsia="zh-CN" w:bidi="ar-SA"/>
        </w:rPr>
        <w:t>溧水厂区</w:t>
      </w:r>
      <w:r>
        <w:rPr>
          <w:rFonts w:hint="eastAsia" w:hAnsi="Arial"/>
          <w:b w:val="0"/>
          <w:bCs w:val="0"/>
          <w:color w:val="auto"/>
          <w:kern w:val="44"/>
          <w:sz w:val="24"/>
          <w:szCs w:val="24"/>
          <w:lang w:val="en-US" w:eastAsia="zh-CN" w:bidi="ar-SA"/>
        </w:rPr>
        <w:t>）</w:t>
      </w:r>
      <w:r>
        <w:rPr>
          <w:rFonts w:hint="eastAsia" w:ascii="Times New Roman" w:hAnsi="Arial" w:eastAsia="宋体"/>
          <w:b w:val="0"/>
          <w:bCs w:val="0"/>
          <w:color w:val="auto"/>
          <w:kern w:val="44"/>
          <w:sz w:val="24"/>
          <w:szCs w:val="24"/>
          <w:lang w:val="en-US" w:eastAsia="zh-CN" w:bidi="ar-SA"/>
        </w:rPr>
        <w:t>。此文件将作为供应商对压缩空气制备系统进行加工制造的基础，同时包括了验证、文件系统、安装、运输等相关责任的要求。并且该URS将作为设备招标、采购、设计、构造、安装和确认过程中</w:t>
      </w:r>
      <w:r>
        <w:rPr>
          <w:rFonts w:hint="eastAsia" w:ascii="Times New Roman" w:hAnsi="Arial"/>
          <w:b w:val="0"/>
          <w:bCs w:val="0"/>
          <w:color w:val="auto"/>
          <w:kern w:val="44"/>
          <w:sz w:val="24"/>
          <w:szCs w:val="24"/>
          <w:lang w:val="en-US" w:eastAsia="zh-CN" w:bidi="ar-SA"/>
        </w:rPr>
        <w:t>必需</w:t>
      </w:r>
      <w:r>
        <w:rPr>
          <w:rFonts w:hint="eastAsia" w:ascii="Times New Roman" w:hAnsi="Arial" w:eastAsia="宋体"/>
          <w:b w:val="0"/>
          <w:bCs w:val="0"/>
          <w:color w:val="auto"/>
          <w:kern w:val="44"/>
          <w:sz w:val="24"/>
          <w:szCs w:val="24"/>
          <w:lang w:val="en-US" w:eastAsia="zh-CN" w:bidi="ar-SA"/>
        </w:rPr>
        <w:t>的参考文件。</w:t>
      </w:r>
    </w:p>
    <w:p>
      <w:pPr>
        <w:numPr>
          <w:ilvl w:val="0"/>
          <w:numId w:val="0"/>
        </w:numPr>
        <w:autoSpaceDE w:val="0"/>
        <w:autoSpaceDN w:val="0"/>
        <w:adjustRightInd w:val="0"/>
        <w:spacing w:line="360" w:lineRule="auto"/>
        <w:ind w:leftChars="0"/>
        <w:jc w:val="left"/>
        <w:textAlignment w:val="top"/>
        <w:rPr>
          <w:rFonts w:hint="eastAsia" w:ascii="Times New Roman" w:hAnsi="Arial" w:eastAsia="宋体"/>
          <w:b w:val="0"/>
          <w:bCs w:val="0"/>
          <w:color w:val="auto"/>
          <w:kern w:val="44"/>
          <w:sz w:val="24"/>
          <w:szCs w:val="24"/>
          <w:lang w:val="en-US" w:eastAsia="zh-CN" w:bidi="ar-SA"/>
        </w:rPr>
      </w:pPr>
      <w:r>
        <w:rPr>
          <w:rFonts w:hint="eastAsia" w:ascii="Times New Roman" w:hAnsi="Arial" w:eastAsia="宋体"/>
          <w:b w:val="0"/>
          <w:bCs w:val="0"/>
          <w:color w:val="auto"/>
          <w:kern w:val="44"/>
          <w:sz w:val="24"/>
          <w:szCs w:val="24"/>
          <w:lang w:val="en-US" w:eastAsia="zh-CN" w:bidi="ar-SA"/>
        </w:rPr>
        <w:t>1.3概况</w:t>
      </w:r>
    </w:p>
    <w:p>
      <w:pPr>
        <w:numPr>
          <w:ilvl w:val="0"/>
          <w:numId w:val="0"/>
        </w:numPr>
        <w:autoSpaceDE w:val="0"/>
        <w:autoSpaceDN w:val="0"/>
        <w:adjustRightInd w:val="0"/>
        <w:spacing w:line="360" w:lineRule="auto"/>
        <w:ind w:leftChars="0" w:firstLine="480" w:firstLineChars="200"/>
        <w:jc w:val="left"/>
        <w:textAlignment w:val="top"/>
        <w:rPr>
          <w:rFonts w:hint="eastAsia" w:ascii="Times New Roman" w:hAnsi="Arial" w:eastAsia="宋体"/>
          <w:b w:val="0"/>
          <w:bCs w:val="0"/>
          <w:color w:val="auto"/>
          <w:kern w:val="44"/>
          <w:sz w:val="24"/>
          <w:szCs w:val="24"/>
          <w:lang w:val="en-US" w:eastAsia="zh-CN" w:bidi="ar-SA"/>
        </w:rPr>
      </w:pPr>
      <w:r>
        <w:rPr>
          <w:rFonts w:hint="eastAsia" w:hAnsi="Arial"/>
          <w:b w:val="0"/>
          <w:bCs w:val="0"/>
          <w:color w:val="auto"/>
          <w:kern w:val="44"/>
          <w:sz w:val="24"/>
          <w:szCs w:val="24"/>
          <w:lang w:val="en-US" w:eastAsia="zh-CN" w:bidi="ar-SA"/>
        </w:rPr>
        <w:t>本URS系统设备位于动力站。</w:t>
      </w:r>
      <w:r>
        <w:rPr>
          <w:rFonts w:hint="eastAsia" w:ascii="Times New Roman" w:hAnsi="Arial" w:eastAsia="宋体"/>
          <w:b w:val="0"/>
          <w:bCs w:val="0"/>
          <w:color w:val="auto"/>
          <w:kern w:val="44"/>
          <w:sz w:val="24"/>
          <w:szCs w:val="24"/>
          <w:lang w:val="en-US" w:eastAsia="zh-CN" w:bidi="ar-SA"/>
        </w:rPr>
        <w:t>该项目需要满足美国FDA ，欧盟</w:t>
      </w:r>
      <w:r>
        <w:rPr>
          <w:rFonts w:hint="eastAsia" w:ascii="Times New Roman" w:hAnsi="Arial"/>
          <w:b w:val="0"/>
          <w:bCs w:val="0"/>
          <w:color w:val="auto"/>
          <w:kern w:val="44"/>
          <w:sz w:val="24"/>
          <w:szCs w:val="24"/>
          <w:lang w:val="en-US" w:eastAsia="zh-CN" w:bidi="ar-SA"/>
        </w:rPr>
        <w:t>GMP</w:t>
      </w:r>
      <w:r>
        <w:rPr>
          <w:rFonts w:hint="eastAsia" w:ascii="Times New Roman" w:hAnsi="Arial" w:eastAsia="宋体"/>
          <w:b w:val="0"/>
          <w:bCs w:val="0"/>
          <w:color w:val="auto"/>
          <w:kern w:val="44"/>
          <w:sz w:val="24"/>
          <w:szCs w:val="24"/>
          <w:lang w:val="en-US" w:eastAsia="zh-CN" w:bidi="ar-SA"/>
        </w:rPr>
        <w:t xml:space="preserve"> 和中国GMP 以及其它相关规范指南。为达到该目标，需方对需购进的设备提出了相应要求，并形成本文件。本文件将作为详细设计和设备功能设计规范的基础。</w:t>
      </w:r>
    </w:p>
    <w:p>
      <w:pPr>
        <w:numPr>
          <w:ilvl w:val="0"/>
          <w:numId w:val="0"/>
        </w:numPr>
        <w:autoSpaceDE w:val="0"/>
        <w:autoSpaceDN w:val="0"/>
        <w:adjustRightInd w:val="0"/>
        <w:spacing w:line="360" w:lineRule="auto"/>
        <w:ind w:leftChars="0" w:firstLine="480" w:firstLineChars="200"/>
        <w:jc w:val="left"/>
        <w:textAlignment w:val="top"/>
        <w:rPr>
          <w:rFonts w:hint="eastAsia" w:ascii="Times New Roman" w:hAnsi="Arial" w:eastAsia="宋体"/>
          <w:b w:val="0"/>
          <w:bCs w:val="0"/>
          <w:color w:val="auto"/>
          <w:kern w:val="44"/>
          <w:sz w:val="24"/>
          <w:szCs w:val="24"/>
          <w:lang w:val="en-US" w:eastAsia="zh-CN" w:bidi="ar-SA"/>
        </w:rPr>
      </w:pPr>
      <w:r>
        <w:rPr>
          <w:rFonts w:hint="eastAsia" w:ascii="Times New Roman" w:hAnsi="Arial" w:eastAsia="宋体"/>
          <w:b w:val="0"/>
          <w:bCs w:val="0"/>
          <w:color w:val="auto"/>
          <w:kern w:val="44"/>
          <w:sz w:val="24"/>
          <w:szCs w:val="24"/>
          <w:lang w:val="en-US" w:eastAsia="zh-CN" w:bidi="ar-SA"/>
        </w:rPr>
        <w:t>需方将按照URS的顺序对设备进行验收，供应商需保证设备能够完全通过上述验收过程。需方同时还会对设备EHS的符合性进行验收。</w:t>
      </w:r>
    </w:p>
    <w:p>
      <w:pPr>
        <w:numPr>
          <w:ilvl w:val="0"/>
          <w:numId w:val="0"/>
        </w:numPr>
        <w:autoSpaceDE w:val="0"/>
        <w:autoSpaceDN w:val="0"/>
        <w:adjustRightInd w:val="0"/>
        <w:spacing w:line="360" w:lineRule="auto"/>
        <w:ind w:leftChars="0"/>
        <w:jc w:val="left"/>
        <w:textAlignment w:val="top"/>
        <w:rPr>
          <w:rFonts w:hint="eastAsia" w:ascii="Times New Roman" w:hAnsi="Arial" w:eastAsia="宋体"/>
          <w:b w:val="0"/>
          <w:bCs w:val="0"/>
          <w:color w:val="auto"/>
          <w:kern w:val="44"/>
          <w:sz w:val="24"/>
          <w:szCs w:val="24"/>
          <w:lang w:val="en-US" w:eastAsia="zh-CN" w:bidi="ar-SA"/>
        </w:rPr>
      </w:pPr>
      <w:r>
        <w:rPr>
          <w:rFonts w:hint="eastAsia" w:ascii="Times New Roman" w:hAnsi="Arial" w:eastAsia="宋体"/>
          <w:b w:val="0"/>
          <w:bCs w:val="0"/>
          <w:color w:val="auto"/>
          <w:kern w:val="44"/>
          <w:sz w:val="24"/>
          <w:szCs w:val="24"/>
          <w:lang w:val="en-US" w:eastAsia="zh-CN" w:bidi="ar-SA"/>
        </w:rPr>
        <w:t>本URS文件仅提出设备基本的技术要求，并未限制设备生产商具有更高的设计与制造标准和更加完善的功能、配置、性能以及更优异的部件。</w:t>
      </w:r>
    </w:p>
    <w:p>
      <w:pPr>
        <w:numPr>
          <w:ilvl w:val="0"/>
          <w:numId w:val="0"/>
        </w:numPr>
        <w:autoSpaceDE w:val="0"/>
        <w:autoSpaceDN w:val="0"/>
        <w:adjustRightInd w:val="0"/>
        <w:spacing w:line="360" w:lineRule="auto"/>
        <w:ind w:leftChars="0" w:firstLine="480" w:firstLineChars="200"/>
        <w:jc w:val="left"/>
        <w:textAlignment w:val="top"/>
        <w:rPr>
          <w:rFonts w:hint="eastAsia" w:ascii="Times New Roman" w:hAnsi="Arial" w:eastAsia="宋体"/>
          <w:b w:val="0"/>
          <w:bCs w:val="0"/>
          <w:color w:val="auto"/>
          <w:kern w:val="44"/>
          <w:sz w:val="24"/>
          <w:szCs w:val="24"/>
          <w:lang w:val="en-US" w:eastAsia="zh-CN" w:bidi="ar-SA"/>
        </w:rPr>
      </w:pPr>
      <w:r>
        <w:rPr>
          <w:rFonts w:hint="eastAsia" w:ascii="Times New Roman" w:hAnsi="Arial" w:eastAsia="宋体"/>
          <w:b w:val="0"/>
          <w:bCs w:val="0"/>
          <w:color w:val="auto"/>
          <w:kern w:val="44"/>
          <w:sz w:val="24"/>
          <w:szCs w:val="24"/>
          <w:lang w:val="en-US" w:eastAsia="zh-CN" w:bidi="ar-SA"/>
        </w:rPr>
        <w:t>设备生产商所提供的设备应满足中国有关设计、制造、安全、环保等规程、规范和强制性标准要求。功能及质量应符合现行版中国、美国、欧洲药典及GMP要求。如遇与卖方所执行的标准发生矛盾时，应按较高标准执行（强制性标准除外）。</w:t>
      </w:r>
    </w:p>
    <w:p>
      <w:pPr>
        <w:numPr>
          <w:ilvl w:val="0"/>
          <w:numId w:val="0"/>
        </w:numPr>
        <w:autoSpaceDE w:val="0"/>
        <w:autoSpaceDN w:val="0"/>
        <w:adjustRightInd w:val="0"/>
        <w:spacing w:line="360" w:lineRule="auto"/>
        <w:ind w:leftChars="0" w:firstLine="480" w:firstLineChars="200"/>
        <w:jc w:val="left"/>
        <w:textAlignment w:val="top"/>
        <w:rPr>
          <w:rFonts w:hint="eastAsia" w:ascii="Times New Roman" w:hAnsi="Arial" w:eastAsia="宋体"/>
          <w:b w:val="0"/>
          <w:bCs w:val="0"/>
          <w:color w:val="auto"/>
          <w:kern w:val="44"/>
          <w:sz w:val="24"/>
          <w:szCs w:val="24"/>
          <w:lang w:val="en-US" w:eastAsia="zh-CN" w:bidi="ar-SA"/>
        </w:rPr>
      </w:pPr>
      <w:r>
        <w:rPr>
          <w:rFonts w:hint="eastAsia" w:ascii="Times New Roman" w:hAnsi="Arial" w:eastAsia="宋体"/>
          <w:b w:val="0"/>
          <w:bCs w:val="0"/>
          <w:color w:val="auto"/>
          <w:kern w:val="44"/>
          <w:sz w:val="24"/>
          <w:szCs w:val="24"/>
          <w:lang w:val="en-US" w:eastAsia="zh-CN" w:bidi="ar-SA"/>
        </w:rPr>
        <w:t>所有设备的设计、制造、检查、测试、包装和交付、最终检查、测试及验证、培训、售后等活动均由承包方负责。</w:t>
      </w:r>
    </w:p>
    <w:p>
      <w:pPr>
        <w:numPr>
          <w:ilvl w:val="0"/>
          <w:numId w:val="0"/>
        </w:numPr>
        <w:autoSpaceDE w:val="0"/>
        <w:autoSpaceDN w:val="0"/>
        <w:adjustRightInd w:val="0"/>
        <w:spacing w:line="360" w:lineRule="auto"/>
        <w:ind w:leftChars="0" w:firstLine="480" w:firstLineChars="200"/>
        <w:jc w:val="left"/>
        <w:textAlignment w:val="top"/>
        <w:rPr>
          <w:rFonts w:hint="eastAsia" w:ascii="Times New Roman" w:hAnsi="Arial" w:eastAsia="宋体"/>
          <w:b w:val="0"/>
          <w:bCs w:val="0"/>
          <w:color w:val="auto"/>
          <w:kern w:val="44"/>
          <w:sz w:val="24"/>
          <w:szCs w:val="24"/>
          <w:lang w:val="en-US" w:eastAsia="zh-CN" w:bidi="ar-SA"/>
        </w:rPr>
      </w:pPr>
      <w:r>
        <w:rPr>
          <w:rFonts w:hint="eastAsia" w:ascii="Times New Roman" w:hAnsi="Arial" w:eastAsia="宋体"/>
          <w:b w:val="0"/>
          <w:bCs w:val="0"/>
          <w:color w:val="auto"/>
          <w:kern w:val="44"/>
          <w:sz w:val="24"/>
          <w:szCs w:val="24"/>
          <w:lang w:val="en-US" w:eastAsia="zh-CN" w:bidi="ar-SA"/>
        </w:rPr>
        <w:t>该设备厂商的技术状况</w:t>
      </w:r>
      <w:r>
        <w:rPr>
          <w:rFonts w:hint="eastAsia" w:ascii="Times New Roman" w:hAnsi="Arial"/>
          <w:b w:val="0"/>
          <w:bCs w:val="0"/>
          <w:color w:val="auto"/>
          <w:kern w:val="44"/>
          <w:sz w:val="24"/>
          <w:szCs w:val="24"/>
          <w:lang w:val="en-US" w:eastAsia="zh-CN" w:bidi="ar-SA"/>
        </w:rPr>
        <w:t>必需</w:t>
      </w:r>
      <w:r>
        <w:rPr>
          <w:rFonts w:hint="eastAsia" w:ascii="Times New Roman" w:hAnsi="Arial" w:eastAsia="宋体"/>
          <w:b w:val="0"/>
          <w:bCs w:val="0"/>
          <w:color w:val="auto"/>
          <w:kern w:val="44"/>
          <w:sz w:val="24"/>
          <w:szCs w:val="24"/>
          <w:lang w:val="en-US" w:eastAsia="zh-CN" w:bidi="ar-SA"/>
        </w:rPr>
        <w:t>在行业处于领先地位，在该类设备制造上有丰富的经验，在行业中有较好的声誉；具备良好的GMP意识及行业前瞻性。</w:t>
      </w:r>
    </w:p>
    <w:p>
      <w:pPr>
        <w:numPr>
          <w:ilvl w:val="0"/>
          <w:numId w:val="0"/>
        </w:numPr>
        <w:autoSpaceDE w:val="0"/>
        <w:autoSpaceDN w:val="0"/>
        <w:adjustRightInd w:val="0"/>
        <w:spacing w:line="360" w:lineRule="auto"/>
        <w:ind w:leftChars="0" w:firstLine="480" w:firstLineChars="200"/>
        <w:jc w:val="left"/>
        <w:textAlignment w:val="top"/>
        <w:rPr>
          <w:rFonts w:hint="eastAsia" w:ascii="Times New Roman" w:hAnsi="Arial" w:eastAsia="宋体"/>
          <w:b w:val="0"/>
          <w:bCs w:val="0"/>
          <w:color w:val="auto"/>
          <w:kern w:val="44"/>
          <w:sz w:val="24"/>
          <w:szCs w:val="24"/>
          <w:lang w:val="en-US" w:eastAsia="zh-CN" w:bidi="ar-SA"/>
        </w:rPr>
      </w:pPr>
      <w:r>
        <w:rPr>
          <w:rFonts w:hint="eastAsia" w:ascii="Times New Roman" w:hAnsi="Arial" w:eastAsia="宋体"/>
          <w:b w:val="0"/>
          <w:bCs w:val="0"/>
          <w:color w:val="auto"/>
          <w:kern w:val="44"/>
          <w:sz w:val="24"/>
          <w:szCs w:val="24"/>
          <w:lang w:val="en-US" w:eastAsia="zh-CN" w:bidi="ar-SA"/>
        </w:rPr>
        <w:t>该类设备在医药行业中有较大的用户群，并且业绩客户使用该设备在医药行业GMP检查及其他检查中未出现任何重大缺陷，在生产过程中未出现任何因设备的原因而产生重大的质量问题。如本研究所需要，承包方应详细提供客户名单，联系方式，为相关人员提供实地考察的机会。</w:t>
      </w:r>
    </w:p>
    <w:p>
      <w:pPr>
        <w:numPr>
          <w:ilvl w:val="0"/>
          <w:numId w:val="0"/>
        </w:numPr>
        <w:autoSpaceDE w:val="0"/>
        <w:autoSpaceDN w:val="0"/>
        <w:adjustRightInd w:val="0"/>
        <w:spacing w:line="360" w:lineRule="auto"/>
        <w:ind w:leftChars="0" w:firstLine="480" w:firstLineChars="200"/>
        <w:jc w:val="left"/>
        <w:textAlignment w:val="top"/>
        <w:rPr>
          <w:rFonts w:hint="eastAsia" w:ascii="Times New Roman" w:hAnsi="Arial" w:eastAsia="宋体"/>
          <w:b w:val="0"/>
          <w:bCs w:val="0"/>
          <w:color w:val="auto"/>
          <w:kern w:val="44"/>
          <w:sz w:val="24"/>
          <w:szCs w:val="24"/>
          <w:lang w:val="en-US" w:eastAsia="zh-CN" w:bidi="ar-SA"/>
        </w:rPr>
      </w:pPr>
      <w:r>
        <w:rPr>
          <w:rFonts w:hint="eastAsia" w:ascii="Times New Roman" w:hAnsi="Arial" w:eastAsia="宋体"/>
          <w:b w:val="0"/>
          <w:bCs w:val="0"/>
          <w:color w:val="auto"/>
          <w:kern w:val="44"/>
          <w:sz w:val="24"/>
          <w:szCs w:val="24"/>
          <w:lang w:val="en-US" w:eastAsia="zh-CN" w:bidi="ar-SA"/>
        </w:rPr>
        <w:t>设备厂商应有健全的组织机构，职能部门职责明确，有专门的质量管理部门，有健全的质量管理制度，具有专职的售后服务队伍，能提供设备厂商现场审计考察机会。</w:t>
      </w:r>
    </w:p>
    <w:p>
      <w:pPr>
        <w:numPr>
          <w:ilvl w:val="0"/>
          <w:numId w:val="0"/>
        </w:numPr>
        <w:autoSpaceDE w:val="0"/>
        <w:autoSpaceDN w:val="0"/>
        <w:adjustRightInd w:val="0"/>
        <w:spacing w:line="360" w:lineRule="auto"/>
        <w:ind w:leftChars="0" w:firstLine="480" w:firstLineChars="200"/>
        <w:jc w:val="left"/>
        <w:textAlignment w:val="top"/>
        <w:rPr>
          <w:rFonts w:hint="eastAsia" w:ascii="Times New Roman" w:hAnsi="Arial" w:eastAsia="宋体"/>
          <w:b w:val="0"/>
          <w:bCs w:val="0"/>
          <w:color w:val="auto"/>
          <w:kern w:val="44"/>
          <w:sz w:val="24"/>
          <w:szCs w:val="24"/>
          <w:lang w:val="en-US" w:eastAsia="zh-CN" w:bidi="ar-SA"/>
        </w:rPr>
      </w:pPr>
      <w:r>
        <w:rPr>
          <w:rFonts w:hint="eastAsia" w:ascii="Times New Roman" w:hAnsi="Arial" w:eastAsia="宋体"/>
          <w:b w:val="0"/>
          <w:bCs w:val="0"/>
          <w:color w:val="auto"/>
          <w:kern w:val="44"/>
          <w:sz w:val="24"/>
          <w:szCs w:val="24"/>
          <w:lang w:val="en-US" w:eastAsia="zh-CN" w:bidi="ar-SA"/>
        </w:rPr>
        <w:t>承包方必需提供企业有效的生产经营执照，生产产品的行业检测证明，生产该类设备资质证书，有关企业质量认证的有关证明等。</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right="0" w:rightChars="0" w:firstLine="0" w:firstLineChars="0"/>
        <w:jc w:val="left"/>
        <w:textAlignment w:val="top"/>
        <w:outlineLvl w:val="0"/>
        <w:rPr>
          <w:rFonts w:hint="eastAsia"/>
          <w:b/>
          <w:color w:val="auto"/>
          <w:kern w:val="0"/>
          <w:sz w:val="24"/>
          <w:szCs w:val="24"/>
          <w:lang w:val="en-US" w:eastAsia="zh-CN"/>
        </w:rPr>
      </w:pPr>
      <w:bookmarkStart w:id="2" w:name="_Toc27433"/>
      <w:r>
        <w:rPr>
          <w:rFonts w:hint="eastAsia"/>
          <w:b/>
          <w:color w:val="auto"/>
          <w:kern w:val="0"/>
          <w:sz w:val="24"/>
          <w:szCs w:val="24"/>
          <w:lang w:val="en-US" w:eastAsia="zh-CN"/>
        </w:rPr>
        <w:t>2.职责</w:t>
      </w:r>
      <w:bookmarkEnd w:id="2"/>
    </w:p>
    <w:p>
      <w:pPr>
        <w:numPr>
          <w:ilvl w:val="0"/>
          <w:numId w:val="0"/>
        </w:numPr>
        <w:autoSpaceDE w:val="0"/>
        <w:autoSpaceDN w:val="0"/>
        <w:adjustRightInd w:val="0"/>
        <w:spacing w:line="360" w:lineRule="auto"/>
        <w:jc w:val="left"/>
        <w:textAlignment w:val="top"/>
        <w:rPr>
          <w:rFonts w:hint="eastAsia" w:ascii="Times New Roman" w:hAnsi="Arial" w:eastAsia="宋体"/>
          <w:b w:val="0"/>
          <w:bCs w:val="0"/>
          <w:color w:val="auto"/>
          <w:kern w:val="44"/>
          <w:sz w:val="24"/>
          <w:szCs w:val="24"/>
          <w:lang w:val="en-US" w:eastAsia="zh-CN" w:bidi="ar-SA"/>
        </w:rPr>
      </w:pPr>
      <w:bookmarkStart w:id="3" w:name="_Toc341794761"/>
      <w:bookmarkStart w:id="4" w:name="_Toc8902"/>
      <w:r>
        <w:rPr>
          <w:rFonts w:hint="eastAsia" w:ascii="Times New Roman" w:hAnsi="Arial" w:eastAsia="宋体"/>
          <w:b w:val="0"/>
          <w:bCs w:val="0"/>
          <w:color w:val="auto"/>
          <w:kern w:val="44"/>
          <w:sz w:val="24"/>
          <w:szCs w:val="24"/>
          <w:lang w:val="en-US" w:eastAsia="zh-CN" w:bidi="ar-SA"/>
        </w:rPr>
        <w:t>2.1需求方职责</w:t>
      </w:r>
      <w:bookmarkEnd w:id="3"/>
      <w:bookmarkEnd w:id="4"/>
    </w:p>
    <w:p>
      <w:pPr>
        <w:numPr>
          <w:ilvl w:val="0"/>
          <w:numId w:val="0"/>
        </w:numPr>
        <w:autoSpaceDE w:val="0"/>
        <w:autoSpaceDN w:val="0"/>
        <w:adjustRightInd w:val="0"/>
        <w:spacing w:line="360" w:lineRule="auto"/>
        <w:ind w:leftChars="0" w:firstLine="480" w:firstLineChars="200"/>
        <w:jc w:val="left"/>
        <w:textAlignment w:val="top"/>
        <w:rPr>
          <w:rFonts w:hint="default" w:ascii="Times New Roman" w:hAnsi="Arial" w:eastAsia="宋体"/>
          <w:b w:val="0"/>
          <w:bCs w:val="0"/>
          <w:color w:val="auto"/>
          <w:kern w:val="44"/>
          <w:sz w:val="24"/>
          <w:szCs w:val="24"/>
          <w:lang w:val="en-US" w:eastAsia="zh-CN" w:bidi="ar-SA"/>
        </w:rPr>
      </w:pPr>
      <w:r>
        <w:rPr>
          <w:rFonts w:hint="eastAsia" w:ascii="Times New Roman" w:hAnsi="Arial" w:eastAsia="宋体"/>
          <w:b w:val="0"/>
          <w:bCs w:val="0"/>
          <w:color w:val="auto"/>
          <w:kern w:val="44"/>
          <w:sz w:val="24"/>
          <w:szCs w:val="24"/>
          <w:lang w:val="en-US" w:eastAsia="zh-CN" w:bidi="ar-SA"/>
        </w:rPr>
        <w:t>2.1.1 负责解答对于此URS的疑问。</w:t>
      </w:r>
    </w:p>
    <w:p>
      <w:pPr>
        <w:numPr>
          <w:ilvl w:val="0"/>
          <w:numId w:val="0"/>
        </w:numPr>
        <w:autoSpaceDE w:val="0"/>
        <w:autoSpaceDN w:val="0"/>
        <w:adjustRightInd w:val="0"/>
        <w:spacing w:line="360" w:lineRule="auto"/>
        <w:ind w:leftChars="0" w:firstLine="480" w:firstLineChars="200"/>
        <w:jc w:val="left"/>
        <w:textAlignment w:val="top"/>
        <w:rPr>
          <w:rFonts w:hint="eastAsia" w:ascii="Times New Roman" w:hAnsi="Arial" w:eastAsia="宋体"/>
          <w:b w:val="0"/>
          <w:bCs w:val="0"/>
          <w:color w:val="auto"/>
          <w:kern w:val="44"/>
          <w:sz w:val="24"/>
          <w:szCs w:val="24"/>
          <w:lang w:val="en-US" w:eastAsia="zh-CN" w:bidi="ar-SA"/>
        </w:rPr>
      </w:pPr>
      <w:r>
        <w:rPr>
          <w:rFonts w:hint="eastAsia" w:ascii="Times New Roman" w:hAnsi="Arial" w:eastAsia="宋体"/>
          <w:b w:val="0"/>
          <w:bCs w:val="0"/>
          <w:color w:val="auto"/>
          <w:kern w:val="44"/>
          <w:sz w:val="24"/>
          <w:szCs w:val="24"/>
          <w:lang w:val="en-US" w:eastAsia="zh-CN" w:bidi="ar-SA"/>
        </w:rPr>
        <w:t>2.1.2 提供电源安装到位，380V，3 相</w:t>
      </w:r>
      <w:r>
        <w:rPr>
          <w:rFonts w:hint="eastAsia" w:ascii="Times New Roman" w:hAnsi="Arial"/>
          <w:b w:val="0"/>
          <w:bCs w:val="0"/>
          <w:color w:val="auto"/>
          <w:kern w:val="44"/>
          <w:sz w:val="24"/>
          <w:szCs w:val="24"/>
          <w:lang w:val="en-US" w:eastAsia="zh-CN" w:bidi="ar-SA"/>
        </w:rPr>
        <w:t>5</w:t>
      </w:r>
      <w:r>
        <w:rPr>
          <w:rFonts w:hint="eastAsia" w:ascii="Times New Roman" w:hAnsi="Arial" w:eastAsia="宋体"/>
          <w:b w:val="0"/>
          <w:bCs w:val="0"/>
          <w:color w:val="auto"/>
          <w:kern w:val="44"/>
          <w:sz w:val="24"/>
          <w:szCs w:val="24"/>
          <w:lang w:val="en-US" w:eastAsia="zh-CN" w:bidi="ar-SA"/>
        </w:rPr>
        <w:t>线制，50 Hz，具备安装条件供设备安装。</w:t>
      </w:r>
    </w:p>
    <w:p>
      <w:pPr>
        <w:numPr>
          <w:ilvl w:val="0"/>
          <w:numId w:val="0"/>
        </w:numPr>
        <w:autoSpaceDE w:val="0"/>
        <w:autoSpaceDN w:val="0"/>
        <w:adjustRightInd w:val="0"/>
        <w:spacing w:line="360" w:lineRule="auto"/>
        <w:jc w:val="left"/>
        <w:textAlignment w:val="top"/>
        <w:rPr>
          <w:rFonts w:hint="eastAsia" w:ascii="Times New Roman" w:hAnsi="Arial" w:eastAsia="宋体"/>
          <w:b w:val="0"/>
          <w:bCs w:val="0"/>
          <w:color w:val="auto"/>
          <w:kern w:val="44"/>
          <w:sz w:val="24"/>
          <w:szCs w:val="24"/>
          <w:lang w:val="en-US" w:eastAsia="zh-CN" w:bidi="ar-SA"/>
        </w:rPr>
      </w:pPr>
      <w:bookmarkStart w:id="5" w:name="_Toc341794762"/>
      <w:bookmarkStart w:id="6" w:name="_Toc13279"/>
      <w:r>
        <w:rPr>
          <w:rFonts w:hint="eastAsia" w:ascii="Times New Roman" w:hAnsi="Arial" w:eastAsia="宋体"/>
          <w:b w:val="0"/>
          <w:bCs w:val="0"/>
          <w:color w:val="auto"/>
          <w:kern w:val="44"/>
          <w:sz w:val="24"/>
          <w:szCs w:val="24"/>
          <w:lang w:val="en-US" w:eastAsia="zh-CN" w:bidi="ar-SA"/>
        </w:rPr>
        <w:t>2.2供应商职责</w:t>
      </w:r>
      <w:bookmarkEnd w:id="5"/>
      <w:bookmarkEnd w:id="6"/>
    </w:p>
    <w:p>
      <w:pPr>
        <w:numPr>
          <w:ilvl w:val="0"/>
          <w:numId w:val="0"/>
        </w:numPr>
        <w:autoSpaceDE w:val="0"/>
        <w:autoSpaceDN w:val="0"/>
        <w:adjustRightInd w:val="0"/>
        <w:spacing w:line="360" w:lineRule="auto"/>
        <w:ind w:firstLine="480" w:firstLineChars="200"/>
        <w:jc w:val="left"/>
        <w:textAlignment w:val="top"/>
        <w:rPr>
          <w:rFonts w:hint="eastAsia" w:ascii="Times New Roman" w:hAnsi="Arial"/>
          <w:b w:val="0"/>
          <w:bCs w:val="0"/>
          <w:color w:val="auto"/>
          <w:kern w:val="44"/>
          <w:sz w:val="24"/>
          <w:szCs w:val="24"/>
          <w:lang w:val="en-US" w:eastAsia="zh-CN" w:bidi="ar-SA"/>
        </w:rPr>
      </w:pPr>
      <w:r>
        <w:rPr>
          <w:rFonts w:hint="eastAsia" w:ascii="Times New Roman" w:hAnsi="Arial" w:eastAsia="宋体"/>
          <w:b w:val="0"/>
          <w:bCs w:val="0"/>
          <w:color w:val="auto"/>
          <w:kern w:val="44"/>
          <w:sz w:val="24"/>
          <w:szCs w:val="24"/>
          <w:lang w:val="en-US" w:eastAsia="zh-CN" w:bidi="ar-SA"/>
        </w:rPr>
        <w:t>2.2.1 依据本URS提供</w:t>
      </w:r>
      <w:r>
        <w:rPr>
          <w:rFonts w:hint="eastAsia" w:ascii="Times New Roman" w:hAnsi="Arial"/>
          <w:b w:val="0"/>
          <w:bCs w:val="0"/>
          <w:color w:val="auto"/>
          <w:kern w:val="44"/>
          <w:sz w:val="24"/>
          <w:szCs w:val="24"/>
          <w:lang w:val="en-US" w:eastAsia="zh-CN" w:bidi="ar-SA"/>
        </w:rPr>
        <w:t>产品。</w:t>
      </w:r>
    </w:p>
    <w:p>
      <w:pPr>
        <w:numPr>
          <w:ilvl w:val="0"/>
          <w:numId w:val="0"/>
        </w:numPr>
        <w:autoSpaceDE w:val="0"/>
        <w:autoSpaceDN w:val="0"/>
        <w:adjustRightInd w:val="0"/>
        <w:spacing w:line="360" w:lineRule="auto"/>
        <w:ind w:firstLine="480" w:firstLineChars="200"/>
        <w:jc w:val="left"/>
        <w:textAlignment w:val="top"/>
        <w:rPr>
          <w:rFonts w:hint="eastAsia" w:ascii="Times New Roman" w:hAnsi="Arial"/>
          <w:b w:val="0"/>
          <w:bCs w:val="0"/>
          <w:color w:val="auto"/>
          <w:kern w:val="44"/>
          <w:sz w:val="24"/>
          <w:szCs w:val="24"/>
          <w:lang w:val="en-US" w:eastAsia="zh-CN" w:bidi="ar-SA"/>
        </w:rPr>
      </w:pPr>
      <w:r>
        <w:rPr>
          <w:rFonts w:hint="eastAsia" w:ascii="Times New Roman" w:hAnsi="Arial"/>
          <w:b w:val="0"/>
          <w:bCs w:val="0"/>
          <w:color w:val="auto"/>
          <w:kern w:val="44"/>
          <w:sz w:val="24"/>
          <w:szCs w:val="24"/>
          <w:lang w:val="en-US" w:eastAsia="zh-CN" w:bidi="ar-SA"/>
        </w:rPr>
        <w:t>2.2.2 书面形式通知需求方安装前所需要具备的现场条件。</w:t>
      </w:r>
    </w:p>
    <w:p>
      <w:pPr>
        <w:numPr>
          <w:ilvl w:val="0"/>
          <w:numId w:val="0"/>
        </w:numPr>
        <w:autoSpaceDE w:val="0"/>
        <w:autoSpaceDN w:val="0"/>
        <w:adjustRightInd w:val="0"/>
        <w:spacing w:line="360" w:lineRule="auto"/>
        <w:ind w:firstLine="480" w:firstLineChars="200"/>
        <w:jc w:val="left"/>
        <w:textAlignment w:val="top"/>
        <w:rPr>
          <w:rFonts w:hint="eastAsia" w:ascii="Times New Roman" w:hAnsi="Arial"/>
          <w:b w:val="0"/>
          <w:bCs w:val="0"/>
          <w:color w:val="auto"/>
          <w:kern w:val="44"/>
          <w:sz w:val="24"/>
          <w:szCs w:val="24"/>
          <w:lang w:val="en-US" w:eastAsia="zh-CN" w:bidi="ar-SA"/>
        </w:rPr>
      </w:pPr>
      <w:r>
        <w:rPr>
          <w:rFonts w:hint="eastAsia" w:ascii="Times New Roman" w:hAnsi="Arial"/>
          <w:b w:val="0"/>
          <w:bCs w:val="0"/>
          <w:color w:val="auto"/>
          <w:kern w:val="44"/>
          <w:sz w:val="24"/>
          <w:szCs w:val="24"/>
          <w:lang w:val="en-US" w:eastAsia="zh-CN" w:bidi="ar-SA"/>
        </w:rPr>
        <w:t>2.2.3 负责设备安装</w:t>
      </w:r>
    </w:p>
    <w:p>
      <w:pPr>
        <w:numPr>
          <w:ilvl w:val="0"/>
          <w:numId w:val="0"/>
        </w:numPr>
        <w:autoSpaceDE w:val="0"/>
        <w:autoSpaceDN w:val="0"/>
        <w:adjustRightInd w:val="0"/>
        <w:spacing w:line="360" w:lineRule="auto"/>
        <w:ind w:firstLine="480" w:firstLineChars="200"/>
        <w:jc w:val="left"/>
        <w:textAlignment w:val="top"/>
        <w:rPr>
          <w:rFonts w:hint="default" w:ascii="Times New Roman" w:hAnsi="Arial"/>
          <w:b w:val="0"/>
          <w:bCs w:val="0"/>
          <w:color w:val="auto"/>
          <w:kern w:val="44"/>
          <w:sz w:val="24"/>
          <w:szCs w:val="24"/>
          <w:lang w:val="en-US" w:eastAsia="zh-CN" w:bidi="ar-SA"/>
        </w:rPr>
      </w:pPr>
      <w:r>
        <w:rPr>
          <w:rFonts w:hint="eastAsia" w:ascii="Times New Roman" w:hAnsi="Arial"/>
          <w:b w:val="0"/>
          <w:bCs w:val="0"/>
          <w:color w:val="auto"/>
          <w:kern w:val="44"/>
          <w:sz w:val="24"/>
          <w:szCs w:val="24"/>
          <w:lang w:val="en-US" w:eastAsia="zh-CN" w:bidi="ar-SA"/>
        </w:rPr>
        <w:t>2.2.4 负责对需方人员的培训。</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right="0" w:rightChars="0" w:firstLine="0" w:firstLineChars="0"/>
        <w:jc w:val="left"/>
        <w:textAlignment w:val="top"/>
        <w:outlineLvl w:val="0"/>
        <w:rPr>
          <w:rFonts w:hint="eastAsia"/>
          <w:b/>
          <w:color w:val="auto"/>
          <w:kern w:val="0"/>
          <w:sz w:val="24"/>
          <w:szCs w:val="24"/>
          <w:lang w:val="en-US" w:eastAsia="zh-CN"/>
        </w:rPr>
      </w:pPr>
      <w:bookmarkStart w:id="7" w:name="_Toc20935"/>
      <w:r>
        <w:rPr>
          <w:rFonts w:hint="eastAsia"/>
          <w:b/>
          <w:color w:val="auto"/>
          <w:kern w:val="0"/>
          <w:sz w:val="24"/>
          <w:szCs w:val="24"/>
          <w:lang w:val="en-US" w:eastAsia="zh-CN"/>
        </w:rPr>
        <w:t>3.制定依据</w:t>
      </w:r>
      <w:bookmarkEnd w:id="7"/>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最新版中国药典</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最新版欧洲药典和美国药典</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美国cGMP</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FDA21 CFR Part 11&amp; 177 &amp; 178 &amp; 210 &amp; 211 要求</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The Good Automated Manufacturing Practice (GAMP) Guide for Validation of Automated Systems in Pharmaceutical Manufacture, Vol. 4.（ISPE）制药生产中的自动化系统验证指南。（ISPE）</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药品生产质量管理规范2010版</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自控仪表设计规范</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GBJ87-85工业企业噪声控制设计规范　</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仪表配管配线设计规定(HG 20512)</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电气设备安全设计导则(GB 4064)</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化工企业静电接地设计规程(HGJ 28)</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《自动化仪表工程及验收规范》GB50131-2007</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《爆炸和火灾危险环境电力装置设计规范》GB50058-2014</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《建筑内部装修设计防火规范》GB50222-2001</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《大气污染物排放标准》GB 16297-1996</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压缩空气质量等级标准ISO8573.1:2010 Calss:1-2-1</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GB"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国际制药工程协会ISPE相关GEP指南</w:t>
      </w:r>
    </w:p>
    <w:p>
      <w:pPr>
        <w:pStyle w:val="23"/>
        <w:numPr>
          <w:ilvl w:val="0"/>
          <w:numId w:val="1"/>
        </w:numPr>
        <w:tabs>
          <w:tab w:val="left" w:pos="993"/>
          <w:tab w:val="clear" w:pos="1800"/>
        </w:tabs>
        <w:spacing w:line="276" w:lineRule="auto"/>
        <w:ind w:left="992" w:hanging="425" w:firstLineChars="0"/>
        <w:jc w:val="left"/>
        <w:rPr>
          <w:rFonts w:hint="eastAsia" w:asciiTheme="minorEastAsia" w:hAnsiTheme="minorEastAsia" w:eastAsiaTheme="minorEastAsia" w:cstheme="minorEastAsia"/>
          <w:b w:val="0"/>
          <w:bCs w:val="0"/>
          <w:color w:val="auto"/>
          <w:kern w:val="44"/>
          <w:sz w:val="24"/>
          <w:szCs w:val="24"/>
          <w:lang w:val="en-US" w:eastAsia="zh-CN" w:bidi="ar-SA"/>
        </w:rPr>
      </w:pPr>
      <w:r>
        <w:rPr>
          <w:rFonts w:hint="eastAsia" w:asciiTheme="minorEastAsia" w:hAnsiTheme="minorEastAsia" w:eastAsiaTheme="minorEastAsia" w:cstheme="minorEastAsia"/>
          <w:b w:val="0"/>
          <w:bCs w:val="0"/>
          <w:color w:val="auto"/>
          <w:kern w:val="44"/>
          <w:sz w:val="24"/>
          <w:szCs w:val="24"/>
          <w:lang w:val="en-GB" w:eastAsia="zh-CN" w:bidi="ar-SA"/>
        </w:rPr>
        <w:t>其它适用于本工程的法律法规、行业规范。</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left="0" w:leftChars="0" w:right="0" w:rightChars="0" w:firstLine="0" w:firstLineChars="0"/>
        <w:jc w:val="left"/>
        <w:textAlignment w:val="top"/>
        <w:outlineLvl w:val="0"/>
        <w:rPr>
          <w:rFonts w:hint="eastAsia"/>
          <w:b/>
          <w:color w:val="auto"/>
          <w:kern w:val="0"/>
          <w:sz w:val="24"/>
          <w:szCs w:val="24"/>
          <w:lang w:val="en-US" w:eastAsia="zh-CN"/>
        </w:rPr>
      </w:pPr>
      <w:bookmarkStart w:id="8" w:name="_Toc22574"/>
      <w:r>
        <w:rPr>
          <w:rFonts w:hint="eastAsia"/>
          <w:b/>
          <w:color w:val="auto"/>
          <w:kern w:val="0"/>
          <w:sz w:val="24"/>
          <w:szCs w:val="24"/>
          <w:lang w:val="en-US" w:eastAsia="zh-CN"/>
        </w:rPr>
        <w:t>用户需求标准</w:t>
      </w:r>
      <w:bookmarkEnd w:id="8"/>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jc w:val="left"/>
        <w:textAlignment w:val="top"/>
        <w:outlineLvl w:val="0"/>
        <w:rPr>
          <w:rFonts w:hint="eastAsia"/>
          <w:b/>
          <w:color w:val="auto"/>
          <w:kern w:val="0"/>
          <w:sz w:val="24"/>
          <w:szCs w:val="24"/>
          <w:lang w:val="en-US" w:eastAsia="zh-CN"/>
        </w:rPr>
      </w:pPr>
      <w:bookmarkStart w:id="9" w:name="_Toc24422"/>
      <w:r>
        <w:rPr>
          <w:rFonts w:hint="eastAsia"/>
          <w:b/>
          <w:color w:val="auto"/>
          <w:kern w:val="0"/>
          <w:sz w:val="24"/>
          <w:szCs w:val="24"/>
          <w:lang w:val="en-US" w:eastAsia="zh-CN"/>
        </w:rPr>
        <w:t>4.1技术要求</w:t>
      </w:r>
      <w:bookmarkEnd w:id="9"/>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63"/>
        <w:gridCol w:w="2544"/>
        <w:gridCol w:w="44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9" w:hRule="atLeast"/>
          <w:jc w:val="center"/>
        </w:trPr>
        <w:tc>
          <w:tcPr>
            <w:tcW w:w="963" w:type="dxa"/>
            <w:tcBorders>
              <w:right w:val="single" w:color="auto" w:sz="4" w:space="0"/>
            </w:tcBorders>
            <w:noWrap w:val="0"/>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编号</w:t>
            </w:r>
          </w:p>
        </w:tc>
        <w:tc>
          <w:tcPr>
            <w:tcW w:w="2544" w:type="dxa"/>
            <w:tcBorders>
              <w:left w:val="single" w:color="auto" w:sz="4" w:space="0"/>
            </w:tcBorders>
            <w:noWrap w:val="0"/>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w:t>
            </w:r>
          </w:p>
        </w:tc>
        <w:tc>
          <w:tcPr>
            <w:tcW w:w="4418" w:type="dxa"/>
            <w:noWrap w:val="0"/>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标准</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无菌</w:t>
            </w:r>
            <w:r>
              <w:rPr>
                <w:rFonts w:hint="eastAsia" w:asciiTheme="minorEastAsia" w:hAnsiTheme="minorEastAsia" w:eastAsiaTheme="minorEastAsia" w:cstheme="minorEastAsia"/>
                <w:color w:val="auto"/>
                <w:sz w:val="24"/>
                <w:szCs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3" w:hRule="atLeast"/>
          <w:jc w:val="center"/>
        </w:trPr>
        <w:tc>
          <w:tcPr>
            <w:tcW w:w="963" w:type="dxa"/>
            <w:tcBorders>
              <w:right w:val="single" w:color="auto" w:sz="4" w:space="0"/>
            </w:tcBorders>
            <w:noWrap w:val="0"/>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2544" w:type="dxa"/>
            <w:tcBorders>
              <w:left w:val="single" w:color="auto" w:sz="4" w:space="0"/>
            </w:tcBorders>
            <w:noWrap w:val="0"/>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性状</w:t>
            </w:r>
          </w:p>
        </w:tc>
        <w:tc>
          <w:tcPr>
            <w:tcW w:w="4418" w:type="dxa"/>
            <w:noWrap w:val="0"/>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无色无味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9" w:hRule="atLeast"/>
          <w:jc w:val="center"/>
        </w:trPr>
        <w:tc>
          <w:tcPr>
            <w:tcW w:w="963" w:type="dxa"/>
            <w:tcBorders>
              <w:right w:val="single" w:color="auto" w:sz="4" w:space="0"/>
            </w:tcBorders>
            <w:noWrap w:val="0"/>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2544" w:type="dxa"/>
            <w:tcBorders>
              <w:left w:val="single" w:color="auto" w:sz="4" w:space="0"/>
            </w:tcBorders>
            <w:noWrap w:val="0"/>
            <w:vAlign w:val="center"/>
          </w:tcPr>
          <w:p>
            <w:pPr>
              <w:widowControl/>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水份</w:t>
            </w:r>
          </w:p>
        </w:tc>
        <w:tc>
          <w:tcPr>
            <w:tcW w:w="4418" w:type="dxa"/>
            <w:noWrap w:val="0"/>
            <w:vAlign w:val="center"/>
          </w:tcPr>
          <w:p>
            <w:pPr>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100mg/m³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3" w:hRule="atLeast"/>
          <w:jc w:val="center"/>
        </w:trPr>
        <w:tc>
          <w:tcPr>
            <w:tcW w:w="963" w:type="dxa"/>
            <w:tcBorders>
              <w:right w:val="single" w:color="auto" w:sz="4" w:space="0"/>
            </w:tcBorders>
            <w:noWrap w:val="0"/>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2544" w:type="dxa"/>
            <w:tcBorders>
              <w:left w:val="single" w:color="auto" w:sz="4" w:space="0"/>
            </w:tcBorders>
            <w:noWrap w:val="0"/>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油份</w:t>
            </w:r>
          </w:p>
        </w:tc>
        <w:tc>
          <w:tcPr>
            <w:tcW w:w="4418" w:type="dxa"/>
            <w:noWrap w:val="0"/>
            <w:vAlign w:val="center"/>
          </w:tcPr>
          <w:p>
            <w:pPr>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3" w:hRule="atLeast"/>
          <w:jc w:val="center"/>
        </w:trPr>
        <w:tc>
          <w:tcPr>
            <w:tcW w:w="963" w:type="dxa"/>
            <w:tcBorders>
              <w:right w:val="single" w:color="auto" w:sz="4" w:space="0"/>
            </w:tcBorders>
            <w:noWrap w:val="0"/>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w:t>
            </w:r>
          </w:p>
        </w:tc>
        <w:tc>
          <w:tcPr>
            <w:tcW w:w="2544" w:type="dxa"/>
            <w:tcBorders>
              <w:left w:val="single" w:color="auto" w:sz="4" w:space="0"/>
            </w:tcBorders>
            <w:noWrap w:val="0"/>
            <w:vAlign w:val="center"/>
          </w:tcPr>
          <w:p>
            <w:pPr>
              <w:widowControl/>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悬浮粒子</w:t>
            </w:r>
          </w:p>
        </w:tc>
        <w:tc>
          <w:tcPr>
            <w:tcW w:w="4418" w:type="dxa"/>
            <w:noWrap w:val="0"/>
            <w:vAlign w:val="center"/>
          </w:tcPr>
          <w:p>
            <w:pPr>
              <w:widowControl/>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≥0.5μm，＜3520</w:t>
            </w:r>
          </w:p>
          <w:p>
            <w:pPr>
              <w:widowControl/>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≥5μm，  ＜2</w:t>
            </w:r>
            <w:r>
              <w:rPr>
                <w:rFonts w:hint="eastAsia" w:asciiTheme="minorEastAsia" w:hAnsiTheme="minorEastAsia" w:eastAsiaTheme="minorEastAsia" w:cstheme="minorEastAsia"/>
                <w:color w:val="auto"/>
                <w:sz w:val="24"/>
                <w:szCs w:val="24"/>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3" w:hRule="atLeast"/>
          <w:jc w:val="center"/>
        </w:trPr>
        <w:tc>
          <w:tcPr>
            <w:tcW w:w="963" w:type="dxa"/>
            <w:tcBorders>
              <w:right w:val="single" w:color="auto" w:sz="4" w:space="0"/>
            </w:tcBorders>
            <w:noWrap w:val="0"/>
            <w:vAlign w:val="center"/>
          </w:tcPr>
          <w:p>
            <w:pPr>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w:t>
            </w:r>
          </w:p>
        </w:tc>
        <w:tc>
          <w:tcPr>
            <w:tcW w:w="2544" w:type="dxa"/>
            <w:tcBorders>
              <w:left w:val="single" w:color="auto" w:sz="4" w:space="0"/>
            </w:tcBorders>
            <w:noWrap w:val="0"/>
            <w:vAlign w:val="center"/>
          </w:tcPr>
          <w:p>
            <w:pPr>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浮游菌</w:t>
            </w:r>
          </w:p>
        </w:tc>
        <w:tc>
          <w:tcPr>
            <w:tcW w:w="4418" w:type="dxa"/>
            <w:noWrap w:val="0"/>
            <w:vAlign w:val="center"/>
          </w:tcPr>
          <w:p>
            <w:pPr>
              <w:widowControl/>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eastAsiaTheme="minorEastAsia" w:cstheme="minorEastAsia"/>
                <w:color w:val="auto"/>
                <w:sz w:val="24"/>
                <w:szCs w:val="24"/>
              </w:rPr>
              <w:t>CFU/m</w:t>
            </w:r>
            <w:r>
              <w:rPr>
                <w:rFonts w:hint="eastAsia" w:asciiTheme="minorEastAsia" w:hAnsiTheme="minorEastAsia" w:eastAsiaTheme="minorEastAsia" w:cstheme="minorEastAsia"/>
                <w:color w:val="auto"/>
                <w:sz w:val="24"/>
                <w:szCs w:val="24"/>
                <w:vertAlign w:val="superscript"/>
              </w:rPr>
              <w:t>3</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jc w:val="left"/>
        <w:textAlignment w:val="top"/>
        <w:outlineLvl w:val="0"/>
        <w:rPr>
          <w:rFonts w:hint="default"/>
          <w:b/>
          <w:color w:val="auto"/>
          <w:kern w:val="0"/>
          <w:sz w:val="24"/>
          <w:szCs w:val="24"/>
          <w:lang w:val="en-US" w:eastAsia="zh-CN"/>
        </w:rPr>
      </w:pP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80" w:lineRule="auto"/>
        <w:ind w:leftChars="0" w:right="0" w:rightChars="0"/>
        <w:jc w:val="left"/>
        <w:textAlignment w:val="top"/>
        <w:outlineLvl w:val="0"/>
        <w:rPr>
          <w:rFonts w:hint="default"/>
          <w:b/>
          <w:color w:val="auto"/>
          <w:kern w:val="0"/>
          <w:sz w:val="24"/>
          <w:szCs w:val="24"/>
          <w:lang w:val="en-US" w:eastAsia="zh-CN"/>
        </w:rPr>
      </w:pPr>
      <w:bookmarkStart w:id="10" w:name="_Toc24293"/>
      <w:r>
        <w:rPr>
          <w:rFonts w:hint="eastAsia"/>
          <w:b/>
          <w:color w:val="auto"/>
          <w:kern w:val="0"/>
          <w:sz w:val="24"/>
          <w:szCs w:val="24"/>
          <w:lang w:val="en-US" w:eastAsia="zh-CN"/>
        </w:rPr>
        <w:t>4.2供货范围</w:t>
      </w:r>
      <w:bookmarkEnd w:id="10"/>
    </w:p>
    <w:tbl>
      <w:tblPr>
        <w:tblStyle w:val="11"/>
        <w:tblW w:w="9296"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5" w:hRule="atLeast"/>
          <w:tblHeader/>
        </w:trPr>
        <w:tc>
          <w:tcPr>
            <w:tcW w:w="179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top"/>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URS001</w:t>
            </w:r>
          </w:p>
        </w:tc>
        <w:tc>
          <w:tcPr>
            <w:tcW w:w="5805" w:type="dxa"/>
            <w:noWrap w:val="0"/>
            <w:vAlign w:val="top"/>
          </w:tcPr>
          <w:p>
            <w:pP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无油</w:t>
            </w:r>
            <w:r>
              <w:rPr>
                <w:rFonts w:hint="eastAsia" w:asciiTheme="minorEastAsia" w:hAnsiTheme="minorEastAsia" w:eastAsiaTheme="minorEastAsia" w:cstheme="minorEastAsia"/>
                <w:color w:val="auto"/>
                <w:sz w:val="24"/>
                <w:szCs w:val="24"/>
              </w:rPr>
              <w:t>螺杆变频空压</w:t>
            </w:r>
            <w:r>
              <w:rPr>
                <w:rFonts w:hint="eastAsia" w:asciiTheme="minorEastAsia" w:hAnsiTheme="minorEastAsia" w:eastAsiaTheme="minorEastAsia" w:cstheme="minorEastAsia"/>
                <w:color w:val="auto"/>
                <w:sz w:val="24"/>
                <w:szCs w:val="24"/>
                <w:lang w:val="en-US" w:eastAsia="zh-CN"/>
              </w:rPr>
              <w:t>机1</w:t>
            </w:r>
            <w:r>
              <w:rPr>
                <w:rFonts w:hint="eastAsia" w:asciiTheme="minorEastAsia" w:hAnsiTheme="minorEastAsia" w:eastAsiaTheme="minorEastAsia" w:cstheme="minorEastAsia"/>
                <w:color w:val="auto"/>
                <w:sz w:val="24"/>
                <w:szCs w:val="24"/>
              </w:rPr>
              <w:t>台</w:t>
            </w:r>
            <w:r>
              <w:rPr>
                <w:rFonts w:hint="eastAsia" w:asciiTheme="minorEastAsia" w:hAnsiTheme="minorEastAsia" w:eastAsiaTheme="minorEastAsia" w:cstheme="minorEastAsia"/>
                <w:color w:val="auto"/>
                <w:sz w:val="24"/>
                <w:szCs w:val="24"/>
                <w:lang w:eastAsia="zh-CN"/>
              </w:rPr>
              <w:t>。</w:t>
            </w:r>
          </w:p>
          <w:p>
            <w:pP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带电子形式自排水</w:t>
            </w:r>
            <w:r>
              <w:rPr>
                <w:rFonts w:hint="eastAsia" w:asciiTheme="minorEastAsia" w:hAnsiTheme="minorEastAsia" w:eastAsiaTheme="minorEastAsia" w:cstheme="minorEastAsia"/>
                <w:color w:val="auto"/>
                <w:sz w:val="24"/>
                <w:szCs w:val="24"/>
              </w:rPr>
              <w:t>SUS304不锈钢</w:t>
            </w:r>
            <w:r>
              <w:rPr>
                <w:rFonts w:hint="eastAsia" w:asciiTheme="minorEastAsia" w:hAnsiTheme="minorEastAsia" w:eastAsiaTheme="minorEastAsia" w:cstheme="minorEastAsia"/>
                <w:color w:val="auto"/>
                <w:sz w:val="24"/>
                <w:szCs w:val="24"/>
                <w:lang w:val="en-US" w:eastAsia="zh-CN"/>
              </w:rPr>
              <w:t>5立方储气罐1套。</w:t>
            </w:r>
          </w:p>
          <w:p>
            <w:pPr>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微热</w:t>
            </w:r>
            <w:r>
              <w:rPr>
                <w:rFonts w:hint="eastAsia" w:asciiTheme="minorEastAsia" w:hAnsiTheme="minorEastAsia" w:eastAsiaTheme="minorEastAsia" w:cstheme="minorEastAsia"/>
                <w:color w:val="auto"/>
                <w:sz w:val="24"/>
                <w:szCs w:val="24"/>
                <w:highlight w:val="none"/>
              </w:rPr>
              <w:t>吸附式干燥机</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套。</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预留1套并联接口）</w:t>
            </w:r>
          </w:p>
          <w:p>
            <w:pP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冷干机1套</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预留1套并联接口）</w:t>
            </w:r>
          </w:p>
          <w:p>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1微米</w:t>
            </w:r>
            <w:r>
              <w:rPr>
                <w:rFonts w:hint="eastAsia" w:asciiTheme="minorEastAsia" w:hAnsiTheme="minorEastAsia" w:eastAsiaTheme="minorEastAsia" w:cstheme="minorEastAsia"/>
                <w:color w:val="auto"/>
                <w:sz w:val="24"/>
                <w:szCs w:val="24"/>
                <w:lang w:val="en-US" w:eastAsia="zh-CN"/>
              </w:rPr>
              <w:t>C级</w:t>
            </w:r>
            <w:r>
              <w:rPr>
                <w:rFonts w:hint="eastAsia" w:asciiTheme="minorEastAsia" w:hAnsiTheme="minorEastAsia" w:eastAsiaTheme="minorEastAsia" w:cstheme="minorEastAsia"/>
                <w:color w:val="auto"/>
                <w:sz w:val="24"/>
                <w:szCs w:val="24"/>
              </w:rPr>
              <w:t>过滤器1套。</w:t>
            </w:r>
          </w:p>
          <w:p>
            <w:pP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0.1</w:t>
            </w:r>
            <w:r>
              <w:rPr>
                <w:rFonts w:hint="eastAsia" w:asciiTheme="minorEastAsia" w:hAnsiTheme="minorEastAsia" w:eastAsiaTheme="minorEastAsia" w:cstheme="minorEastAsia"/>
                <w:color w:val="auto"/>
                <w:sz w:val="24"/>
                <w:szCs w:val="24"/>
              </w:rPr>
              <w:t>微米</w:t>
            </w:r>
            <w:r>
              <w:rPr>
                <w:rFonts w:hint="eastAsia" w:asciiTheme="minorEastAsia" w:hAnsiTheme="minorEastAsia" w:eastAsiaTheme="minorEastAsia" w:cstheme="minorEastAsia"/>
                <w:color w:val="auto"/>
                <w:sz w:val="24"/>
                <w:szCs w:val="24"/>
                <w:lang w:val="en-US" w:eastAsia="zh-CN"/>
              </w:rPr>
              <w:t>T级</w:t>
            </w:r>
            <w:r>
              <w:rPr>
                <w:rFonts w:hint="eastAsia" w:asciiTheme="minorEastAsia" w:hAnsiTheme="minorEastAsia" w:eastAsiaTheme="minorEastAsia" w:cstheme="minorEastAsia"/>
                <w:color w:val="auto"/>
                <w:sz w:val="24"/>
                <w:szCs w:val="24"/>
              </w:rPr>
              <w:t>过滤器1套</w:t>
            </w:r>
            <w:r>
              <w:rPr>
                <w:rFonts w:hint="eastAsia" w:asciiTheme="minorEastAsia" w:hAnsiTheme="minorEastAsia" w:eastAsiaTheme="minorEastAsia" w:cstheme="minorEastAsia"/>
                <w:color w:val="auto"/>
                <w:sz w:val="24"/>
                <w:szCs w:val="24"/>
                <w:lang w:eastAsia="zh-CN"/>
              </w:rPr>
              <w:t>。</w:t>
            </w:r>
          </w:p>
          <w:p>
            <w:pP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0.01微米</w:t>
            </w:r>
            <w:r>
              <w:rPr>
                <w:rFonts w:hint="eastAsia" w:asciiTheme="minorEastAsia" w:hAnsiTheme="minorEastAsia" w:eastAsiaTheme="minorEastAsia" w:cstheme="minorEastAsia"/>
                <w:color w:val="auto"/>
                <w:sz w:val="24"/>
                <w:szCs w:val="24"/>
                <w:lang w:val="en-US" w:eastAsia="zh-CN"/>
              </w:rPr>
              <w:t>A级</w:t>
            </w:r>
            <w:r>
              <w:rPr>
                <w:rFonts w:hint="eastAsia" w:asciiTheme="minorEastAsia" w:hAnsiTheme="minorEastAsia" w:eastAsiaTheme="minorEastAsia" w:cstheme="minorEastAsia"/>
                <w:color w:val="auto"/>
                <w:sz w:val="24"/>
                <w:szCs w:val="24"/>
              </w:rPr>
              <w:t>过滤器1套</w:t>
            </w:r>
            <w:r>
              <w:rPr>
                <w:rFonts w:hint="eastAsia" w:asciiTheme="minorEastAsia" w:hAnsiTheme="minorEastAsia" w:eastAsiaTheme="minorEastAsia" w:cstheme="minorEastAsia"/>
                <w:color w:val="auto"/>
                <w:sz w:val="24"/>
                <w:szCs w:val="24"/>
                <w:lang w:eastAsia="zh-CN"/>
              </w:rPr>
              <w:t>。</w:t>
            </w:r>
          </w:p>
          <w:p>
            <w:pP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活性炭过滤器1套。</w:t>
            </w:r>
          </w:p>
          <w:p>
            <w:pP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带电子形式自排水</w:t>
            </w:r>
            <w:r>
              <w:rPr>
                <w:rFonts w:hint="eastAsia" w:asciiTheme="minorEastAsia" w:hAnsiTheme="minorEastAsia" w:eastAsiaTheme="minorEastAsia" w:cstheme="minorEastAsia"/>
                <w:color w:val="auto"/>
                <w:sz w:val="24"/>
                <w:szCs w:val="24"/>
              </w:rPr>
              <w:t>SUS304不锈钢2立方储罐1套</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额定压力10bar。</w:t>
            </w:r>
          </w:p>
        </w:tc>
        <w:tc>
          <w:tcPr>
            <w:tcW w:w="1696" w:type="dxa"/>
            <w:noWrap w:val="0"/>
            <w:vAlign w:val="center"/>
          </w:tcPr>
          <w:p>
            <w:pPr>
              <w:spacing w:line="360" w:lineRule="auto"/>
              <w:ind w:left="1" w:right="71" w:rightChars="34"/>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URS002</w:t>
            </w:r>
          </w:p>
        </w:tc>
        <w:tc>
          <w:tcPr>
            <w:tcW w:w="5805" w:type="dxa"/>
            <w:noWrap w:val="0"/>
            <w:vAlign w:val="top"/>
          </w:tcPr>
          <w:p>
            <w:pP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处理量</w:t>
            </w:r>
            <w:r>
              <w:rPr>
                <w:rFonts w:hint="eastAsia" w:asciiTheme="minorEastAsia" w:hAnsiTheme="minorEastAsia" w:eastAsiaTheme="minorEastAsia" w:cstheme="minorEastAsia"/>
                <w:color w:val="auto"/>
                <w:sz w:val="24"/>
                <w:szCs w:val="24"/>
              </w:rPr>
              <w:t>：15.71Nm³/min</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0℃标方，0.85Mpa）</w:t>
            </w:r>
            <w:r>
              <w:rPr>
                <w:rFonts w:hint="eastAsia" w:asciiTheme="minorEastAsia" w:hAnsiTheme="minorEastAsia" w:eastAsiaTheme="minorEastAsia" w:cstheme="minorEastAsia"/>
                <w:color w:val="auto"/>
                <w:sz w:val="24"/>
                <w:szCs w:val="24"/>
              </w:rPr>
              <w:t>，压力范围：4.5-10bar，目标设定压力：8</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bar。</w:t>
            </w:r>
            <w:r>
              <w:rPr>
                <w:rFonts w:hint="eastAsia" w:asciiTheme="minorEastAsia" w:hAnsiTheme="minorEastAsia" w:eastAsiaTheme="minorEastAsia" w:cstheme="minorEastAsia"/>
                <w:color w:val="auto"/>
                <w:sz w:val="24"/>
                <w:szCs w:val="24"/>
                <w:lang w:val="en-US" w:eastAsia="zh-CN"/>
              </w:rPr>
              <w:t>压力</w:t>
            </w:r>
            <w:r>
              <w:rPr>
                <w:rFonts w:hint="eastAsia" w:asciiTheme="minorEastAsia" w:hAnsiTheme="minorEastAsia" w:eastAsiaTheme="minorEastAsia" w:cstheme="minorEastAsia"/>
                <w:color w:val="auto"/>
                <w:sz w:val="24"/>
                <w:szCs w:val="24"/>
              </w:rPr>
              <w:t>露点-</w:t>
            </w:r>
            <w:r>
              <w:rPr>
                <w:rFonts w:hint="eastAsia" w:asciiTheme="minorEastAsia" w:hAnsiTheme="minorEastAsia" w:eastAsiaTheme="minorEastAsia" w:cstheme="minorEastAsia"/>
                <w:color w:val="auto"/>
                <w:sz w:val="24"/>
                <w:szCs w:val="24"/>
                <w:lang w:val="en-US" w:eastAsia="zh-CN"/>
              </w:rPr>
              <w:t>4</w:t>
            </w:r>
            <w:r>
              <w:rPr>
                <w:rFonts w:hint="eastAsia" w:asciiTheme="minorEastAsia" w:hAnsiTheme="minorEastAsia" w:eastAsiaTheme="minorEastAsia" w:cstheme="minorEastAsia"/>
                <w:color w:val="auto"/>
                <w:sz w:val="24"/>
                <w:szCs w:val="24"/>
              </w:rPr>
              <w:t>0℃</w:t>
            </w:r>
            <w:r>
              <w:rPr>
                <w:rFonts w:hint="eastAsia" w:asciiTheme="minorEastAsia" w:hAnsiTheme="minorEastAsia" w:eastAsiaTheme="minorEastAsia" w:cstheme="minorEastAsia"/>
                <w:color w:val="auto"/>
                <w:sz w:val="24"/>
                <w:szCs w:val="24"/>
                <w:lang w:val="en-US" w:eastAsia="zh-CN"/>
              </w:rPr>
              <w:t>以下</w:t>
            </w:r>
            <w:r>
              <w:rPr>
                <w:rFonts w:hint="eastAsia" w:asciiTheme="minorEastAsia" w:hAnsiTheme="minorEastAsia" w:eastAsiaTheme="minorEastAsia" w:cstheme="minorEastAsia"/>
                <w:color w:val="auto"/>
                <w:sz w:val="24"/>
                <w:szCs w:val="24"/>
              </w:rPr>
              <w:t>。</w:t>
            </w:r>
          </w:p>
        </w:tc>
        <w:tc>
          <w:tcPr>
            <w:tcW w:w="1696" w:type="dxa"/>
            <w:noWrap w:val="0"/>
            <w:vAlign w:val="center"/>
          </w:tcPr>
          <w:p>
            <w:pPr>
              <w:spacing w:line="360" w:lineRule="auto"/>
              <w:ind w:left="1" w:right="71" w:rightChars="34"/>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8" w:hRule="atLeast"/>
        </w:trPr>
        <w:tc>
          <w:tcPr>
            <w:tcW w:w="1795" w:type="dxa"/>
            <w:noWrap w:val="0"/>
            <w:vAlign w:val="center"/>
          </w:tcPr>
          <w:p>
            <w:pPr>
              <w:pStyle w:val="6"/>
              <w:spacing w:before="120" w:after="120" w:line="360" w:lineRule="auto"/>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URS003</w:t>
            </w:r>
          </w:p>
        </w:tc>
        <w:tc>
          <w:tcPr>
            <w:tcW w:w="5805" w:type="dxa"/>
            <w:noWrap w:val="0"/>
            <w:vAlign w:val="center"/>
          </w:tcPr>
          <w:p>
            <w:pPr>
              <w:spacing w:line="240" w:lineRule="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供货方需要提供排水装置。</w:t>
            </w:r>
            <w:r>
              <w:rPr>
                <w:rFonts w:hint="eastAsia" w:asciiTheme="minorEastAsia" w:hAnsiTheme="minorEastAsia" w:eastAsiaTheme="minorEastAsia" w:cstheme="minorEastAsia"/>
                <w:color w:val="auto"/>
                <w:sz w:val="24"/>
                <w:szCs w:val="24"/>
                <w:lang w:val="en-US" w:eastAsia="zh-CN"/>
              </w:rPr>
              <w:t>冷干机配备电子自动排水阀</w:t>
            </w:r>
          </w:p>
        </w:tc>
        <w:tc>
          <w:tcPr>
            <w:tcW w:w="1696" w:type="dxa"/>
            <w:noWrap w:val="0"/>
            <w:vAlign w:val="center"/>
          </w:tcPr>
          <w:p>
            <w:pPr>
              <w:spacing w:line="360" w:lineRule="auto"/>
              <w:ind w:left="1" w:right="71" w:rightChars="34"/>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URS004</w:t>
            </w:r>
          </w:p>
        </w:tc>
        <w:tc>
          <w:tcPr>
            <w:tcW w:w="5805" w:type="dxa"/>
            <w:noWrap w:val="0"/>
            <w:vAlign w:val="top"/>
          </w:tcPr>
          <w:p>
            <w:pP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验证服务，协助提供本设备相应的验证服务，包括：DQ、FAT、IQ、OQ方案起草及执行，协助完成PQ方案、报告及测试</w:t>
            </w:r>
          </w:p>
        </w:tc>
        <w:tc>
          <w:tcPr>
            <w:tcW w:w="1696" w:type="dxa"/>
            <w:noWrap w:val="0"/>
            <w:vAlign w:val="center"/>
          </w:tcPr>
          <w:p>
            <w:pPr>
              <w:spacing w:line="360" w:lineRule="auto"/>
              <w:ind w:left="1" w:right="71" w:rightChars="34"/>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4" w:hRule="atLeast"/>
        </w:trPr>
        <w:tc>
          <w:tcPr>
            <w:tcW w:w="1795" w:type="dxa"/>
            <w:noWrap w:val="0"/>
            <w:vAlign w:val="center"/>
          </w:tcPr>
          <w:p>
            <w:pPr>
              <w:pStyle w:val="6"/>
              <w:spacing w:before="120" w:after="120" w:line="360" w:lineRule="auto"/>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URS005</w:t>
            </w:r>
          </w:p>
        </w:tc>
        <w:tc>
          <w:tcPr>
            <w:tcW w:w="5805" w:type="dxa"/>
            <w:noWrap w:val="0"/>
            <w:vAlign w:val="center"/>
          </w:tcPr>
          <w:p>
            <w:pP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文件服务，本URS要求的所有文件。</w:t>
            </w:r>
          </w:p>
        </w:tc>
        <w:tc>
          <w:tcPr>
            <w:tcW w:w="1696" w:type="dxa"/>
            <w:noWrap w:val="0"/>
            <w:vAlign w:val="center"/>
          </w:tcPr>
          <w:p>
            <w:pPr>
              <w:spacing w:line="360" w:lineRule="auto"/>
              <w:ind w:left="1" w:right="71" w:rightChars="34"/>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URS006</w:t>
            </w:r>
          </w:p>
        </w:tc>
        <w:tc>
          <w:tcPr>
            <w:tcW w:w="5805" w:type="dxa"/>
            <w:noWrap w:val="0"/>
            <w:vAlign w:val="top"/>
          </w:tcPr>
          <w:p>
            <w:pP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投标时提供完整方案，至少应包括：部件清单（配置表</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品牌、型号</w:t>
            </w:r>
            <w:r>
              <w:rPr>
                <w:rFonts w:hint="eastAsia" w:asciiTheme="minorEastAsia" w:hAnsiTheme="minorEastAsia" w:eastAsiaTheme="minorEastAsia" w:cstheme="minorEastAsia"/>
                <w:color w:val="auto"/>
                <w:sz w:val="24"/>
                <w:szCs w:val="24"/>
              </w:rPr>
              <w:t>）、性能参数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投标产品优势分析</w:t>
            </w:r>
            <w:r>
              <w:rPr>
                <w:rFonts w:hint="eastAsia" w:asciiTheme="minorEastAsia" w:hAnsiTheme="minorEastAsia" w:eastAsiaTheme="minorEastAsia" w:cstheme="minorEastAsia"/>
                <w:color w:val="auto"/>
                <w:sz w:val="24"/>
                <w:szCs w:val="24"/>
              </w:rPr>
              <w:t>。</w:t>
            </w:r>
          </w:p>
        </w:tc>
        <w:tc>
          <w:tcPr>
            <w:tcW w:w="1696" w:type="dxa"/>
            <w:noWrap w:val="0"/>
            <w:vAlign w:val="center"/>
          </w:tcPr>
          <w:p>
            <w:pPr>
              <w:spacing w:line="360" w:lineRule="auto"/>
              <w:ind w:left="1" w:right="71" w:rightChars="34"/>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必需</w:t>
            </w:r>
          </w:p>
        </w:tc>
      </w:tr>
    </w:tbl>
    <w:p>
      <w:pPr>
        <w:spacing w:line="480" w:lineRule="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4.3空压机</w:t>
      </w:r>
    </w:p>
    <w:tbl>
      <w:tblPr>
        <w:tblStyle w:val="11"/>
        <w:tblW w:w="0" w:type="auto"/>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385" w:hRule="atLeast"/>
          <w:tblHeader/>
        </w:trPr>
        <w:tc>
          <w:tcPr>
            <w:tcW w:w="1795" w:type="dxa"/>
            <w:tcBorders>
              <w:top w:val="single" w:color="auto" w:sz="8" w:space="0"/>
              <w:bottom w:val="double" w:color="auto" w:sz="4" w:space="0"/>
            </w:tcBorders>
            <w:shd w:val="clear" w:color="auto" w:fill="E0E0E0"/>
            <w:noWrap w:val="0"/>
            <w:vAlign w:val="top"/>
          </w:tcPr>
          <w:p>
            <w:pPr>
              <w:spacing w:before="120" w:after="120"/>
              <w:jc w:val="center"/>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编号</w:t>
            </w:r>
          </w:p>
        </w:tc>
        <w:tc>
          <w:tcPr>
            <w:tcW w:w="5805" w:type="dxa"/>
            <w:tcBorders>
              <w:top w:val="single" w:color="auto" w:sz="8" w:space="0"/>
              <w:bottom w:val="double" w:color="auto" w:sz="4" w:space="0"/>
            </w:tcBorders>
            <w:shd w:val="clear" w:color="auto" w:fill="E0E0E0"/>
            <w:noWrap w:val="0"/>
            <w:vAlign w:val="top"/>
          </w:tcPr>
          <w:p>
            <w:pPr>
              <w:spacing w:before="120" w:after="120"/>
              <w:jc w:val="center"/>
              <w:rPr>
                <w:rFonts w:hint="eastAsia" w:asciiTheme="minorEastAsia" w:hAnsiTheme="minorEastAsia" w:eastAsiaTheme="minorEastAsia" w:cstheme="minorEastAsia"/>
                <w:b/>
                <w:bCs/>
                <w:color w:val="auto"/>
                <w:sz w:val="24"/>
                <w:szCs w:val="24"/>
                <w:lang w:eastAsia="zh-CN"/>
              </w:rPr>
            </w:pPr>
            <w:r>
              <w:rPr>
                <w:rFonts w:hint="eastAsia" w:asciiTheme="minorEastAsia" w:hAnsiTheme="minorEastAsia" w:eastAsiaTheme="minorEastAsia" w:cstheme="minorEastAsia"/>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top"/>
          </w:tcPr>
          <w:p>
            <w:pPr>
              <w:spacing w:before="120" w:after="120"/>
              <w:ind w:right="-107" w:rightChars="-51"/>
              <w:jc w:val="center"/>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color w:val="auto"/>
                <w:sz w:val="24"/>
                <w:szCs w:val="24"/>
              </w:rPr>
              <w:t>必需</w:t>
            </w:r>
            <w:r>
              <w:rPr>
                <w:rFonts w:hint="eastAsia" w:asciiTheme="minorEastAsia" w:hAnsiTheme="minorEastAsia" w:eastAsiaTheme="minorEastAsia" w:cstheme="minorEastAsia"/>
                <w:b/>
                <w:color w:val="auto"/>
                <w:sz w:val="24"/>
                <w:szCs w:val="24"/>
                <w:lang w:val="en-US" w:eastAsia="zh-CN"/>
              </w:rPr>
              <w:t>/</w:t>
            </w:r>
            <w:r>
              <w:rPr>
                <w:rFonts w:hint="eastAsia" w:asciiTheme="minorEastAsia" w:hAnsiTheme="minorEastAsia" w:eastAsiaTheme="minorEastAsia" w:cstheme="minorEastAsia"/>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1795" w:type="dxa"/>
            <w:tcBorders>
              <w:top w:val="double" w:color="auto" w:sz="4" w:space="0"/>
            </w:tcBorders>
            <w:noWrap w:val="0"/>
            <w:vAlign w:val="center"/>
          </w:tcPr>
          <w:p>
            <w:pPr>
              <w:pStyle w:val="6"/>
              <w:spacing w:before="120" w:after="120" w:line="360" w:lineRule="auto"/>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URS007</w:t>
            </w:r>
          </w:p>
        </w:tc>
        <w:tc>
          <w:tcPr>
            <w:tcW w:w="5805" w:type="dxa"/>
            <w:tcBorders>
              <w:top w:val="double" w:color="auto" w:sz="4" w:space="0"/>
            </w:tcBorders>
            <w:noWrap w:val="0"/>
            <w:vAlign w:val="center"/>
          </w:tcPr>
          <w:p>
            <w:pPr>
              <w:pStyle w:val="22"/>
              <w:spacing w:before="0" w:after="0"/>
              <w:jc w:val="both"/>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bCs w:val="0"/>
                <w:caps/>
                <w:color w:val="auto"/>
                <w:kern w:val="2"/>
                <w:sz w:val="24"/>
                <w:szCs w:val="24"/>
                <w:lang w:eastAsia="zh-CN"/>
              </w:rPr>
              <w:t>空压机调节方式：变频调节（变频器品牌要求：ABB、西门子、</w:t>
            </w:r>
            <w:r>
              <w:rPr>
                <w:rFonts w:hint="eastAsia" w:asciiTheme="minorEastAsia" w:hAnsiTheme="minorEastAsia" w:eastAsiaTheme="minorEastAsia" w:cstheme="minorEastAsia"/>
                <w:color w:val="auto"/>
                <w:sz w:val="24"/>
                <w:szCs w:val="24"/>
                <w:lang w:eastAsia="zh-CN"/>
              </w:rPr>
              <w:t>罗克韦尔、艾默生-利莱森玛、</w:t>
            </w:r>
            <w:r>
              <w:rPr>
                <w:rFonts w:hint="eastAsia" w:asciiTheme="minorEastAsia" w:hAnsiTheme="minorEastAsia" w:eastAsiaTheme="minorEastAsia" w:cstheme="minorEastAsia"/>
                <w:color w:val="auto"/>
                <w:sz w:val="24"/>
                <w:szCs w:val="24"/>
                <w:lang w:val="en-US" w:eastAsia="zh-CN"/>
              </w:rPr>
              <w:t>施耐德、日立</w:t>
            </w:r>
            <w:r>
              <w:rPr>
                <w:rFonts w:hint="eastAsia" w:asciiTheme="minorEastAsia" w:hAnsiTheme="minorEastAsia" w:eastAsiaTheme="minorEastAsia" w:cstheme="minorEastAsia"/>
                <w:bCs w:val="0"/>
                <w:caps/>
                <w:color w:val="auto"/>
                <w:kern w:val="2"/>
                <w:sz w:val="24"/>
                <w:szCs w:val="24"/>
                <w:lang w:val="en-US" w:eastAsia="zh-CN"/>
              </w:rPr>
              <w:t>或同等品牌</w:t>
            </w:r>
            <w:r>
              <w:rPr>
                <w:rFonts w:hint="eastAsia" w:asciiTheme="minorEastAsia" w:hAnsiTheme="minorEastAsia" w:eastAsiaTheme="minorEastAsia" w:cstheme="minorEastAsia"/>
                <w:bCs w:val="0"/>
                <w:caps/>
                <w:color w:val="auto"/>
                <w:kern w:val="2"/>
                <w:sz w:val="24"/>
                <w:szCs w:val="24"/>
                <w:lang w:eastAsia="zh-CN"/>
              </w:rPr>
              <w:t>；</w:t>
            </w:r>
            <w:r>
              <w:rPr>
                <w:rFonts w:hint="eastAsia" w:asciiTheme="minorEastAsia" w:hAnsiTheme="minorEastAsia" w:eastAsiaTheme="minorEastAsia" w:cstheme="minorEastAsia"/>
                <w:bCs w:val="0"/>
                <w:caps/>
                <w:color w:val="auto"/>
                <w:kern w:val="2"/>
                <w:sz w:val="24"/>
                <w:szCs w:val="24"/>
                <w:lang w:val="en-US" w:eastAsia="zh-CN"/>
              </w:rPr>
              <w:t>主</w:t>
            </w:r>
            <w:r>
              <w:rPr>
                <w:rFonts w:hint="eastAsia" w:asciiTheme="minorEastAsia" w:hAnsiTheme="minorEastAsia" w:eastAsiaTheme="minorEastAsia" w:cstheme="minorEastAsia"/>
                <w:bCs w:val="0"/>
                <w:caps/>
                <w:color w:val="auto"/>
                <w:kern w:val="2"/>
                <w:sz w:val="24"/>
                <w:szCs w:val="24"/>
                <w:lang w:eastAsia="zh-CN"/>
              </w:rPr>
              <w:t>电机：ABB、西门子、艾默生-利莱森玛、</w:t>
            </w:r>
            <w:r>
              <w:rPr>
                <w:rFonts w:hint="eastAsia" w:asciiTheme="minorEastAsia" w:hAnsiTheme="minorEastAsia" w:eastAsiaTheme="minorEastAsia" w:cstheme="minorEastAsia"/>
                <w:bCs w:val="0"/>
                <w:caps/>
                <w:color w:val="auto"/>
                <w:kern w:val="2"/>
                <w:sz w:val="24"/>
                <w:szCs w:val="24"/>
                <w:lang w:val="en-US" w:eastAsia="zh-CN"/>
              </w:rPr>
              <w:t>WEG或同等品牌</w:t>
            </w:r>
            <w:r>
              <w:rPr>
                <w:rFonts w:hint="eastAsia" w:asciiTheme="minorEastAsia" w:hAnsiTheme="minorEastAsia" w:eastAsiaTheme="minorEastAsia" w:cstheme="minorEastAsia"/>
                <w:bCs w:val="0"/>
                <w:caps/>
                <w:color w:val="auto"/>
                <w:kern w:val="2"/>
                <w:sz w:val="24"/>
                <w:szCs w:val="24"/>
                <w:lang w:eastAsia="zh-CN"/>
              </w:rPr>
              <w:t>）</w:t>
            </w:r>
          </w:p>
        </w:tc>
        <w:tc>
          <w:tcPr>
            <w:tcW w:w="1696" w:type="dxa"/>
            <w:tcBorders>
              <w:top w:val="double" w:color="auto" w:sz="4" w:space="0"/>
            </w:tcBorders>
            <w:noWrap w:val="0"/>
            <w:vAlign w:val="center"/>
          </w:tcPr>
          <w:p>
            <w:pPr>
              <w:spacing w:line="360" w:lineRule="auto"/>
              <w:ind w:left="1" w:right="71" w:rightChars="34"/>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URS008</w:t>
            </w:r>
          </w:p>
        </w:tc>
        <w:tc>
          <w:tcPr>
            <w:tcW w:w="5805" w:type="dxa"/>
            <w:noWrap w:val="0"/>
            <w:vAlign w:val="center"/>
          </w:tcPr>
          <w:p>
            <w:pPr>
              <w:pStyle w:val="22"/>
              <w:spacing w:before="0" w:after="0"/>
              <w:jc w:val="both"/>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bCs w:val="0"/>
                <w:caps/>
                <w:color w:val="auto"/>
                <w:kern w:val="2"/>
                <w:sz w:val="24"/>
                <w:szCs w:val="24"/>
                <w:lang w:val="en-US" w:eastAsia="zh-CN"/>
              </w:rPr>
              <w:t>适应</w:t>
            </w:r>
            <w:r>
              <w:rPr>
                <w:rFonts w:hint="eastAsia" w:asciiTheme="minorEastAsia" w:hAnsiTheme="minorEastAsia" w:eastAsiaTheme="minorEastAsia" w:cstheme="minorEastAsia"/>
                <w:bCs w:val="0"/>
                <w:caps/>
                <w:color w:val="auto"/>
                <w:kern w:val="2"/>
                <w:sz w:val="24"/>
                <w:szCs w:val="24"/>
                <w:lang w:eastAsia="zh-CN"/>
              </w:rPr>
              <w:t>最高环境温度</w:t>
            </w:r>
            <w:r>
              <w:rPr>
                <w:rFonts w:hint="eastAsia" w:asciiTheme="minorEastAsia" w:hAnsiTheme="minorEastAsia" w:eastAsiaTheme="minorEastAsia" w:cstheme="minorEastAsia"/>
                <w:bCs w:val="0"/>
                <w:caps/>
                <w:color w:val="auto"/>
                <w:kern w:val="2"/>
                <w:sz w:val="24"/>
                <w:szCs w:val="24"/>
                <w:lang w:val="en-US" w:eastAsia="zh-CN"/>
              </w:rPr>
              <w:t>45</w:t>
            </w:r>
            <w:r>
              <w:rPr>
                <w:rFonts w:hint="eastAsia" w:asciiTheme="minorEastAsia" w:hAnsiTheme="minorEastAsia" w:eastAsiaTheme="minorEastAsia" w:cstheme="minorEastAsia"/>
                <w:bCs w:val="0"/>
                <w:caps/>
                <w:color w:val="auto"/>
                <w:kern w:val="2"/>
                <w:sz w:val="24"/>
                <w:szCs w:val="24"/>
                <w:lang w:eastAsia="zh-CN"/>
              </w:rPr>
              <w:t>℃</w:t>
            </w:r>
          </w:p>
        </w:tc>
        <w:tc>
          <w:tcPr>
            <w:tcW w:w="1696" w:type="dxa"/>
            <w:noWrap w:val="0"/>
            <w:vAlign w:val="center"/>
          </w:tcPr>
          <w:p>
            <w:pPr>
              <w:spacing w:line="360" w:lineRule="auto"/>
              <w:ind w:left="1" w:right="71" w:rightChars="34"/>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URS009</w:t>
            </w:r>
          </w:p>
        </w:tc>
        <w:tc>
          <w:tcPr>
            <w:tcW w:w="5805" w:type="dxa"/>
            <w:noWrap w:val="0"/>
            <w:vAlign w:val="center"/>
          </w:tcPr>
          <w:p>
            <w:pPr>
              <w:pStyle w:val="22"/>
              <w:spacing w:before="0" w:after="0"/>
              <w:jc w:val="both"/>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bCs w:val="0"/>
                <w:caps/>
                <w:color w:val="auto"/>
                <w:kern w:val="2"/>
                <w:sz w:val="24"/>
                <w:szCs w:val="24"/>
                <w:lang w:eastAsia="zh-CN"/>
              </w:rPr>
              <w:t>排气量</w:t>
            </w:r>
            <w:r>
              <w:rPr>
                <w:rFonts w:hint="eastAsia" w:asciiTheme="minorEastAsia" w:hAnsiTheme="minorEastAsia" w:eastAsiaTheme="minorEastAsia" w:cstheme="minorEastAsia"/>
                <w:bCs w:val="0"/>
                <w:caps/>
                <w:color w:val="auto"/>
                <w:kern w:val="2"/>
                <w:sz w:val="24"/>
                <w:szCs w:val="24"/>
                <w:lang w:val="en-US" w:eastAsia="zh-CN"/>
              </w:rPr>
              <w:t>调节范围</w:t>
            </w:r>
            <w:r>
              <w:rPr>
                <w:rFonts w:hint="eastAsia" w:asciiTheme="minorEastAsia" w:hAnsiTheme="minorEastAsia" w:eastAsiaTheme="minorEastAsia" w:cstheme="minorEastAsia"/>
                <w:bCs w:val="0"/>
                <w:caps/>
                <w:color w:val="auto"/>
                <w:kern w:val="2"/>
                <w:sz w:val="24"/>
                <w:szCs w:val="24"/>
                <w:lang w:eastAsia="zh-CN"/>
              </w:rPr>
              <w:t>40%-100%</w:t>
            </w:r>
          </w:p>
        </w:tc>
        <w:tc>
          <w:tcPr>
            <w:tcW w:w="1696" w:type="dxa"/>
            <w:noWrap w:val="0"/>
            <w:vAlign w:val="center"/>
          </w:tcPr>
          <w:p>
            <w:pPr>
              <w:spacing w:line="360" w:lineRule="auto"/>
              <w:ind w:left="1" w:right="71" w:rightChars="34"/>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URS010</w:t>
            </w:r>
          </w:p>
        </w:tc>
        <w:tc>
          <w:tcPr>
            <w:tcW w:w="5805" w:type="dxa"/>
            <w:noWrap w:val="0"/>
            <w:vAlign w:val="center"/>
          </w:tcPr>
          <w:p>
            <w:pPr>
              <w:pStyle w:val="22"/>
              <w:spacing w:before="0" w:after="0"/>
              <w:jc w:val="both"/>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Cs w:val="0"/>
                <w:caps/>
                <w:color w:val="auto"/>
                <w:kern w:val="2"/>
                <w:sz w:val="24"/>
                <w:szCs w:val="24"/>
                <w:lang w:eastAsia="zh-CN"/>
              </w:rPr>
              <w:t>冷却方式：</w:t>
            </w:r>
            <w:r>
              <w:rPr>
                <w:rFonts w:hint="eastAsia" w:asciiTheme="minorEastAsia" w:hAnsiTheme="minorEastAsia" w:eastAsiaTheme="minorEastAsia" w:cstheme="minorEastAsia"/>
                <w:bCs w:val="0"/>
                <w:caps/>
                <w:color w:val="auto"/>
                <w:kern w:val="2"/>
                <w:sz w:val="24"/>
                <w:szCs w:val="24"/>
                <w:lang w:val="en-US" w:eastAsia="zh-CN"/>
              </w:rPr>
              <w:t>风冷</w:t>
            </w:r>
          </w:p>
        </w:tc>
        <w:tc>
          <w:tcPr>
            <w:tcW w:w="1696" w:type="dxa"/>
            <w:noWrap w:val="0"/>
            <w:vAlign w:val="center"/>
          </w:tcPr>
          <w:p>
            <w:pPr>
              <w:spacing w:line="360" w:lineRule="auto"/>
              <w:ind w:left="1" w:right="71" w:rightChars="34"/>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4" w:hRule="atLeast"/>
        </w:trPr>
        <w:tc>
          <w:tcPr>
            <w:tcW w:w="1795" w:type="dxa"/>
            <w:noWrap w:val="0"/>
            <w:vAlign w:val="center"/>
          </w:tcPr>
          <w:p>
            <w:pPr>
              <w:pStyle w:val="6"/>
              <w:spacing w:before="120" w:after="120" w:line="360" w:lineRule="auto"/>
              <w:jc w:val="center"/>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URS011</w:t>
            </w:r>
          </w:p>
        </w:tc>
        <w:tc>
          <w:tcPr>
            <w:tcW w:w="5805" w:type="dxa"/>
            <w:noWrap w:val="0"/>
            <w:vAlign w:val="center"/>
          </w:tcPr>
          <w:p>
            <w:pPr>
              <w:pStyle w:val="21"/>
              <w:spacing w:before="0"/>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Cs w:val="0"/>
                <w:caps/>
                <w:color w:val="auto"/>
                <w:kern w:val="2"/>
                <w:sz w:val="24"/>
                <w:szCs w:val="24"/>
                <w:lang w:val="en-US" w:eastAsia="zh-CN"/>
              </w:rPr>
              <w:t>电机</w:t>
            </w:r>
            <w:r>
              <w:rPr>
                <w:rFonts w:hint="eastAsia" w:asciiTheme="minorEastAsia" w:hAnsiTheme="minorEastAsia" w:eastAsiaTheme="minorEastAsia" w:cstheme="minorEastAsia"/>
                <w:bCs w:val="0"/>
                <w:caps/>
                <w:color w:val="auto"/>
                <w:kern w:val="2"/>
                <w:sz w:val="24"/>
                <w:szCs w:val="24"/>
                <w:lang w:eastAsia="zh-CN"/>
              </w:rPr>
              <w:t>防护等级≥IP</w:t>
            </w:r>
            <w:r>
              <w:rPr>
                <w:rFonts w:hint="eastAsia" w:asciiTheme="minorEastAsia" w:hAnsiTheme="minorEastAsia" w:eastAsiaTheme="minorEastAsia" w:cstheme="minorEastAsia"/>
                <w:bCs w:val="0"/>
                <w:caps/>
                <w:color w:val="auto"/>
                <w:kern w:val="2"/>
                <w:sz w:val="24"/>
                <w:szCs w:val="24"/>
                <w:lang w:val="en-US" w:eastAsia="zh-CN"/>
              </w:rPr>
              <w:t>23；配电柜防护等级</w:t>
            </w:r>
            <w:r>
              <w:rPr>
                <w:rFonts w:hint="eastAsia" w:asciiTheme="minorEastAsia" w:hAnsiTheme="minorEastAsia" w:eastAsiaTheme="minorEastAsia" w:cstheme="minorEastAsia"/>
                <w:bCs w:val="0"/>
                <w:caps/>
                <w:color w:val="auto"/>
                <w:kern w:val="2"/>
                <w:sz w:val="24"/>
                <w:szCs w:val="24"/>
                <w:lang w:eastAsia="zh-CN"/>
              </w:rPr>
              <w:t>≥IP</w:t>
            </w:r>
            <w:r>
              <w:rPr>
                <w:rFonts w:hint="eastAsia" w:asciiTheme="minorEastAsia" w:hAnsiTheme="minorEastAsia" w:eastAsiaTheme="minorEastAsia" w:cstheme="minorEastAsia"/>
                <w:bCs w:val="0"/>
                <w:caps/>
                <w:color w:val="auto"/>
                <w:kern w:val="2"/>
                <w:sz w:val="24"/>
                <w:szCs w:val="24"/>
                <w:lang w:val="en-US" w:eastAsia="zh-CN"/>
              </w:rPr>
              <w:t>54</w:t>
            </w:r>
          </w:p>
        </w:tc>
        <w:tc>
          <w:tcPr>
            <w:tcW w:w="1696" w:type="dxa"/>
            <w:noWrap w:val="0"/>
            <w:vAlign w:val="center"/>
          </w:tcPr>
          <w:p>
            <w:pPr>
              <w:spacing w:line="360" w:lineRule="auto"/>
              <w:ind w:left="1" w:right="71" w:rightChars="34"/>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必需</w:t>
            </w:r>
          </w:p>
        </w:tc>
      </w:tr>
    </w:tbl>
    <w:p>
      <w:pPr>
        <w:spacing w:line="480" w:lineRule="auto"/>
        <w:rPr>
          <w:rFonts w:hint="default" w:eastAsia="宋体"/>
          <w:color w:val="auto"/>
          <w:sz w:val="24"/>
          <w:szCs w:val="24"/>
          <w:lang w:val="en-US" w:eastAsia="zh-CN"/>
        </w:rPr>
      </w:pPr>
      <w:r>
        <w:rPr>
          <w:rFonts w:hint="eastAsia"/>
          <w:color w:val="auto"/>
          <w:sz w:val="24"/>
          <w:szCs w:val="24"/>
          <w:lang w:val="en-US" w:eastAsia="zh-CN"/>
        </w:rPr>
        <w:t>4.4后处理</w:t>
      </w:r>
    </w:p>
    <w:tbl>
      <w:tblPr>
        <w:tblStyle w:val="11"/>
        <w:tblW w:w="0" w:type="auto"/>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5" w:hRule="atLeast"/>
          <w:tblHeader/>
        </w:trPr>
        <w:tc>
          <w:tcPr>
            <w:tcW w:w="179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top"/>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1795" w:type="dxa"/>
            <w:tcBorders>
              <w:top w:val="double" w:color="auto" w:sz="4" w:space="0"/>
            </w:tcBorders>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URS012</w:t>
            </w:r>
          </w:p>
        </w:tc>
        <w:tc>
          <w:tcPr>
            <w:tcW w:w="5805" w:type="dxa"/>
            <w:tcBorders>
              <w:top w:val="double" w:color="auto" w:sz="4" w:space="0"/>
            </w:tcBorders>
            <w:noWrap w:val="0"/>
            <w:vAlign w:val="center"/>
          </w:tcPr>
          <w:p>
            <w:pPr>
              <w:pStyle w:val="22"/>
              <w:spacing w:before="0" w:after="0"/>
              <w:jc w:val="both"/>
              <w:rPr>
                <w:rFonts w:hint="eastAsia" w:ascii="Arial" w:hAnsi="Arial"/>
                <w:color w:val="auto"/>
                <w:sz w:val="24"/>
                <w:szCs w:val="24"/>
                <w:lang w:eastAsia="zh-CN"/>
              </w:rPr>
            </w:pPr>
            <w:r>
              <w:rPr>
                <w:rFonts w:hint="eastAsia" w:ascii="宋体" w:hAnsi="宋体" w:cs="Arial"/>
                <w:bCs w:val="0"/>
                <w:caps/>
                <w:color w:val="auto"/>
                <w:kern w:val="2"/>
                <w:sz w:val="24"/>
                <w:szCs w:val="24"/>
                <w:lang w:eastAsia="zh-CN"/>
              </w:rPr>
              <w:t>配置相应的后处理设备，包括：冷干机、</w:t>
            </w:r>
            <w:r>
              <w:rPr>
                <w:rFonts w:hint="eastAsia" w:ascii="宋体" w:hAnsi="宋体" w:cs="Arial"/>
                <w:bCs w:val="0"/>
                <w:caps/>
                <w:color w:val="auto"/>
                <w:kern w:val="2"/>
                <w:sz w:val="24"/>
                <w:szCs w:val="24"/>
                <w:highlight w:val="none"/>
                <w:lang w:eastAsia="zh-CN"/>
              </w:rPr>
              <w:t>微热</w:t>
            </w:r>
            <w:r>
              <w:rPr>
                <w:rFonts w:hint="eastAsia" w:ascii="宋体" w:hAnsi="宋体" w:cs="Arial"/>
                <w:bCs w:val="0"/>
                <w:caps/>
                <w:color w:val="auto"/>
                <w:kern w:val="2"/>
                <w:sz w:val="24"/>
                <w:szCs w:val="24"/>
                <w:lang w:eastAsia="zh-CN"/>
              </w:rPr>
              <w:t>再生吸干机及储罐，给出合理的配置方案。后处理品牌：与压缩机同品牌或者</w:t>
            </w:r>
            <w:r>
              <w:rPr>
                <w:rFonts w:hint="eastAsia" w:ascii="宋体" w:hAnsi="宋体" w:cs="Arial"/>
                <w:bCs w:val="0"/>
                <w:caps/>
                <w:color w:val="auto"/>
                <w:kern w:val="2"/>
                <w:sz w:val="24"/>
                <w:szCs w:val="24"/>
                <w:lang w:val="en-US" w:eastAsia="zh-CN"/>
              </w:rPr>
              <w:t>同档次产品</w:t>
            </w:r>
            <w:r>
              <w:rPr>
                <w:rFonts w:hint="eastAsia" w:ascii="宋体" w:hAnsi="宋体" w:cs="Arial"/>
                <w:bCs w:val="0"/>
                <w:caps/>
                <w:color w:val="auto"/>
                <w:kern w:val="2"/>
                <w:sz w:val="24"/>
                <w:szCs w:val="24"/>
                <w:lang w:eastAsia="zh-CN"/>
              </w:rPr>
              <w:t>。</w:t>
            </w:r>
          </w:p>
        </w:tc>
        <w:tc>
          <w:tcPr>
            <w:tcW w:w="1696" w:type="dxa"/>
            <w:tcBorders>
              <w:top w:val="double" w:color="auto" w:sz="4" w:space="0"/>
            </w:tcBorders>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URS013</w:t>
            </w:r>
          </w:p>
        </w:tc>
        <w:tc>
          <w:tcPr>
            <w:tcW w:w="5805" w:type="dxa"/>
            <w:noWrap w:val="0"/>
            <w:vAlign w:val="center"/>
          </w:tcPr>
          <w:p>
            <w:pPr>
              <w:pStyle w:val="22"/>
              <w:spacing w:before="0" w:after="0"/>
              <w:jc w:val="both"/>
              <w:rPr>
                <w:rFonts w:hint="default" w:ascii="宋体" w:hAnsi="宋体"/>
                <w:color w:val="auto"/>
                <w:sz w:val="24"/>
                <w:szCs w:val="24"/>
                <w:lang w:val="en-US" w:eastAsia="zh-CN"/>
              </w:rPr>
            </w:pPr>
            <w:r>
              <w:rPr>
                <w:rFonts w:hint="eastAsia" w:ascii="宋体" w:hAnsi="宋体" w:cs="Arial"/>
                <w:bCs w:val="0"/>
                <w:caps/>
                <w:color w:val="auto"/>
                <w:kern w:val="2"/>
                <w:sz w:val="24"/>
                <w:szCs w:val="24"/>
                <w:lang w:eastAsia="zh-CN"/>
              </w:rPr>
              <w:t>单台处理量不低于</w:t>
            </w:r>
            <w:r>
              <w:rPr>
                <w:rFonts w:ascii="宋体" w:hAnsi="宋体" w:cs="Arial"/>
                <w:bCs w:val="0"/>
                <w:caps/>
                <w:color w:val="auto"/>
                <w:kern w:val="2"/>
                <w:sz w:val="24"/>
                <w:szCs w:val="24"/>
                <w:lang w:eastAsia="zh-CN"/>
              </w:rPr>
              <w:t>20M</w:t>
            </w:r>
            <w:r>
              <w:rPr>
                <w:rFonts w:hint="eastAsia" w:ascii="宋体" w:hAnsi="宋体" w:cs="Arial"/>
                <w:bCs w:val="0"/>
                <w:caps/>
                <w:color w:val="auto"/>
                <w:kern w:val="2"/>
                <w:sz w:val="24"/>
                <w:szCs w:val="24"/>
                <w:lang w:eastAsia="zh-CN"/>
              </w:rPr>
              <w:t>³/</w:t>
            </w:r>
            <w:r>
              <w:rPr>
                <w:rFonts w:hint="eastAsia" w:ascii="宋体" w:hAnsi="宋体" w:cs="Arial"/>
                <w:bCs w:val="0"/>
                <w:caps/>
                <w:color w:val="auto"/>
                <w:kern w:val="2"/>
                <w:sz w:val="24"/>
                <w:szCs w:val="24"/>
                <w:lang w:val="en-US" w:eastAsia="zh-CN"/>
              </w:rPr>
              <w:t>min</w:t>
            </w:r>
          </w:p>
        </w:tc>
        <w:tc>
          <w:tcPr>
            <w:tcW w:w="1696" w:type="dxa"/>
            <w:noWrap w:val="0"/>
            <w:vAlign w:val="center"/>
          </w:tcPr>
          <w:p>
            <w:pPr>
              <w:spacing w:line="360" w:lineRule="auto"/>
              <w:ind w:left="1" w:right="71" w:rightChars="34"/>
              <w:jc w:val="center"/>
              <w:rPr>
                <w:rFonts w:hint="default"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URS014</w:t>
            </w:r>
          </w:p>
        </w:tc>
        <w:tc>
          <w:tcPr>
            <w:tcW w:w="5805" w:type="dxa"/>
            <w:noWrap w:val="0"/>
            <w:vAlign w:val="center"/>
          </w:tcPr>
          <w:p>
            <w:pPr>
              <w:pStyle w:val="22"/>
              <w:spacing w:before="0" w:after="0"/>
              <w:jc w:val="both"/>
              <w:rPr>
                <w:rFonts w:hint="eastAsia" w:ascii="宋体" w:hAnsi="宋体"/>
                <w:color w:val="auto"/>
                <w:sz w:val="24"/>
                <w:szCs w:val="24"/>
                <w:lang w:eastAsia="zh-CN"/>
              </w:rPr>
            </w:pPr>
            <w:r>
              <w:rPr>
                <w:rFonts w:hint="eastAsia" w:ascii="宋体" w:hAnsi="宋体" w:cs="Arial"/>
                <w:bCs w:val="0"/>
                <w:caps/>
                <w:color w:val="auto"/>
                <w:kern w:val="2"/>
                <w:sz w:val="24"/>
                <w:szCs w:val="24"/>
                <w:lang w:eastAsia="zh-CN"/>
              </w:rPr>
              <w:t>工作压力：1</w:t>
            </w:r>
            <w:r>
              <w:rPr>
                <w:rFonts w:ascii="宋体" w:hAnsi="宋体" w:cs="Arial"/>
                <w:bCs w:val="0"/>
                <w:caps/>
                <w:color w:val="auto"/>
                <w:kern w:val="2"/>
                <w:sz w:val="24"/>
                <w:szCs w:val="24"/>
                <w:lang w:eastAsia="zh-CN"/>
              </w:rPr>
              <w:t>0</w:t>
            </w:r>
            <w:r>
              <w:rPr>
                <w:rFonts w:hint="eastAsia" w:ascii="宋体" w:hAnsi="宋体" w:cs="Arial"/>
                <w:bCs w:val="0"/>
                <w:caps/>
                <w:color w:val="auto"/>
                <w:kern w:val="2"/>
                <w:sz w:val="24"/>
                <w:szCs w:val="24"/>
                <w:lang w:eastAsia="zh-CN"/>
              </w:rPr>
              <w:t>Bar</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URS015</w:t>
            </w:r>
          </w:p>
        </w:tc>
        <w:tc>
          <w:tcPr>
            <w:tcW w:w="5805" w:type="dxa"/>
            <w:noWrap w:val="0"/>
            <w:vAlign w:val="center"/>
          </w:tcPr>
          <w:p>
            <w:pPr>
              <w:pStyle w:val="22"/>
              <w:spacing w:before="0" w:after="0"/>
              <w:jc w:val="both"/>
              <w:rPr>
                <w:rFonts w:ascii="宋体" w:hAnsi="宋体" w:cs="Arial"/>
                <w:bCs w:val="0"/>
                <w:caps/>
                <w:color w:val="auto"/>
                <w:kern w:val="2"/>
                <w:sz w:val="24"/>
                <w:szCs w:val="24"/>
                <w:lang w:eastAsia="zh-CN"/>
              </w:rPr>
            </w:pPr>
            <w:r>
              <w:rPr>
                <w:rFonts w:hint="eastAsia" w:ascii="宋体" w:hAnsi="宋体" w:cs="Arial"/>
                <w:bCs w:val="0"/>
                <w:caps/>
                <w:color w:val="auto"/>
                <w:kern w:val="2"/>
                <w:sz w:val="24"/>
                <w:szCs w:val="24"/>
                <w:lang w:eastAsia="zh-CN"/>
              </w:rPr>
              <w:t>冷干机</w:t>
            </w:r>
          </w:p>
          <w:p>
            <w:pPr>
              <w:pStyle w:val="22"/>
              <w:spacing w:before="0" w:after="0"/>
              <w:jc w:val="both"/>
              <w:rPr>
                <w:rFonts w:hint="default" w:ascii="宋体" w:hAnsi="宋体" w:cs="Arial"/>
                <w:bCs w:val="0"/>
                <w:caps/>
                <w:color w:val="auto"/>
                <w:kern w:val="2"/>
                <w:sz w:val="24"/>
                <w:szCs w:val="24"/>
                <w:lang w:val="en-US" w:eastAsia="zh-CN"/>
              </w:rPr>
            </w:pPr>
            <w:r>
              <w:rPr>
                <w:rFonts w:hint="eastAsia" w:ascii="宋体" w:hAnsi="宋体" w:cs="Arial"/>
                <w:bCs w:val="0"/>
                <w:caps/>
                <w:color w:val="auto"/>
                <w:kern w:val="2"/>
                <w:sz w:val="24"/>
                <w:szCs w:val="24"/>
                <w:lang w:eastAsia="zh-CN"/>
              </w:rPr>
              <w:t>冷却方式：</w:t>
            </w:r>
            <w:r>
              <w:rPr>
                <w:rFonts w:hint="eastAsia" w:ascii="宋体" w:hAnsi="宋体" w:cs="Arial"/>
                <w:bCs w:val="0"/>
                <w:caps/>
                <w:color w:val="auto"/>
                <w:kern w:val="2"/>
                <w:sz w:val="24"/>
                <w:szCs w:val="24"/>
                <w:lang w:val="en-US" w:eastAsia="zh-CN"/>
              </w:rPr>
              <w:t>风冷。</w:t>
            </w:r>
          </w:p>
          <w:p>
            <w:pPr>
              <w:pStyle w:val="22"/>
              <w:spacing w:before="0" w:after="0"/>
              <w:jc w:val="both"/>
              <w:rPr>
                <w:rFonts w:hint="eastAsia" w:ascii="宋体" w:hAnsi="宋体" w:cs="Arial"/>
                <w:bCs w:val="0"/>
                <w:caps/>
                <w:color w:val="auto"/>
                <w:kern w:val="2"/>
                <w:sz w:val="24"/>
                <w:szCs w:val="24"/>
                <w:lang w:eastAsia="zh-CN"/>
              </w:rPr>
            </w:pPr>
            <w:r>
              <w:rPr>
                <w:rFonts w:hint="eastAsia" w:ascii="宋体" w:hAnsi="宋体" w:cs="Arial"/>
                <w:bCs w:val="0"/>
                <w:caps/>
                <w:color w:val="auto"/>
                <w:kern w:val="2"/>
                <w:sz w:val="24"/>
                <w:szCs w:val="24"/>
                <w:lang w:eastAsia="zh-CN"/>
              </w:rPr>
              <w:t>压缩机、节流元件、控制元件：日立、</w:t>
            </w:r>
            <w:r>
              <w:rPr>
                <w:rFonts w:ascii="宋体" w:hAnsi="宋体" w:cs="Arial"/>
                <w:bCs w:val="0"/>
                <w:caps/>
                <w:color w:val="auto"/>
                <w:kern w:val="2"/>
                <w:sz w:val="24"/>
                <w:szCs w:val="24"/>
                <w:lang w:eastAsia="zh-CN"/>
              </w:rPr>
              <w:t>SANYON、danfoss、</w:t>
            </w:r>
            <w:r>
              <w:rPr>
                <w:rFonts w:hint="eastAsia" w:ascii="宋体" w:hAnsi="宋体" w:cs="Arial"/>
                <w:bCs w:val="0"/>
                <w:caps/>
                <w:color w:val="auto"/>
                <w:kern w:val="2"/>
                <w:sz w:val="24"/>
                <w:szCs w:val="24"/>
                <w:lang w:eastAsia="zh-CN"/>
              </w:rPr>
              <w:t>比泽尔</w:t>
            </w:r>
          </w:p>
          <w:p>
            <w:pPr>
              <w:pStyle w:val="22"/>
              <w:spacing w:before="0" w:after="0"/>
              <w:jc w:val="both"/>
              <w:rPr>
                <w:rFonts w:ascii="宋体" w:hAnsi="宋体" w:cs="Arial"/>
                <w:bCs w:val="0"/>
                <w:caps/>
                <w:color w:val="auto"/>
                <w:kern w:val="2"/>
                <w:sz w:val="24"/>
                <w:szCs w:val="24"/>
                <w:lang w:eastAsia="zh-CN"/>
              </w:rPr>
            </w:pPr>
            <w:r>
              <w:rPr>
                <w:rFonts w:hint="eastAsia" w:ascii="宋体" w:hAnsi="宋体" w:cs="Arial"/>
                <w:bCs w:val="0"/>
                <w:caps/>
                <w:color w:val="auto"/>
                <w:kern w:val="2"/>
                <w:sz w:val="24"/>
                <w:szCs w:val="24"/>
                <w:lang w:eastAsia="zh-CN"/>
              </w:rPr>
              <w:t>制冷剂：环保冷媒。</w:t>
            </w:r>
          </w:p>
          <w:p>
            <w:pPr>
              <w:pStyle w:val="22"/>
              <w:spacing w:before="0" w:after="0"/>
              <w:jc w:val="both"/>
              <w:rPr>
                <w:rFonts w:ascii="宋体" w:hAnsi="宋体" w:cs="Arial"/>
                <w:bCs w:val="0"/>
                <w:caps/>
                <w:color w:val="auto"/>
                <w:kern w:val="2"/>
                <w:sz w:val="24"/>
                <w:szCs w:val="24"/>
                <w:lang w:eastAsia="zh-CN"/>
              </w:rPr>
            </w:pPr>
            <w:r>
              <w:rPr>
                <w:rFonts w:hint="eastAsia" w:ascii="宋体" w:hAnsi="宋体" w:cs="Arial"/>
                <w:bCs w:val="0"/>
                <w:caps/>
                <w:color w:val="auto"/>
                <w:kern w:val="2"/>
                <w:sz w:val="24"/>
                <w:szCs w:val="24"/>
                <w:lang w:eastAsia="zh-CN"/>
              </w:rPr>
              <w:t>露点温度：</w:t>
            </w:r>
            <w:r>
              <w:rPr>
                <w:rFonts w:ascii="宋体" w:hAnsi="宋体" w:cs="Arial"/>
                <w:bCs w:val="0"/>
                <w:caps/>
                <w:color w:val="auto"/>
                <w:kern w:val="2"/>
                <w:sz w:val="24"/>
                <w:szCs w:val="24"/>
                <w:lang w:eastAsia="zh-CN"/>
              </w:rPr>
              <w:t>3℃</w:t>
            </w:r>
          </w:p>
          <w:p>
            <w:pPr>
              <w:pStyle w:val="22"/>
              <w:spacing w:before="0" w:after="0"/>
              <w:jc w:val="both"/>
              <w:rPr>
                <w:rFonts w:hint="eastAsia" w:ascii="宋体" w:hAnsi="宋体" w:cs="Arial"/>
                <w:bCs w:val="0"/>
                <w:caps/>
                <w:color w:val="auto"/>
                <w:kern w:val="2"/>
                <w:sz w:val="24"/>
                <w:szCs w:val="24"/>
                <w:lang w:eastAsia="zh-CN"/>
              </w:rPr>
            </w:pPr>
            <w:r>
              <w:rPr>
                <w:rFonts w:hint="eastAsia" w:ascii="宋体" w:hAnsi="宋体" w:cs="Arial"/>
                <w:bCs w:val="0"/>
                <w:caps/>
                <w:color w:val="auto"/>
                <w:kern w:val="2"/>
                <w:sz w:val="24"/>
                <w:szCs w:val="24"/>
                <w:lang w:val="en-US" w:eastAsia="zh-CN"/>
              </w:rPr>
              <w:t>适应</w:t>
            </w:r>
            <w:r>
              <w:rPr>
                <w:rFonts w:hint="eastAsia" w:ascii="宋体" w:hAnsi="宋体" w:cs="Arial"/>
                <w:bCs w:val="0"/>
                <w:caps/>
                <w:color w:val="auto"/>
                <w:kern w:val="2"/>
                <w:sz w:val="24"/>
                <w:szCs w:val="24"/>
                <w:lang w:eastAsia="zh-CN"/>
              </w:rPr>
              <w:t>最高环境温度：4</w:t>
            </w:r>
            <w:r>
              <w:rPr>
                <w:rFonts w:ascii="宋体" w:hAnsi="宋体" w:cs="Arial"/>
                <w:bCs w:val="0"/>
                <w:caps/>
                <w:color w:val="auto"/>
                <w:kern w:val="2"/>
                <w:sz w:val="24"/>
                <w:szCs w:val="24"/>
                <w:lang w:eastAsia="zh-CN"/>
              </w:rPr>
              <w:t>5</w:t>
            </w:r>
            <w:r>
              <w:rPr>
                <w:rFonts w:hint="eastAsia" w:ascii="宋体" w:hAnsi="宋体" w:cs="Arial"/>
                <w:bCs w:val="0"/>
                <w:caps/>
                <w:color w:val="auto"/>
                <w:kern w:val="2"/>
                <w:sz w:val="24"/>
                <w:szCs w:val="24"/>
                <w:lang w:eastAsia="zh-CN"/>
              </w:rPr>
              <w:t>℃</w:t>
            </w:r>
          </w:p>
          <w:p>
            <w:pPr>
              <w:pStyle w:val="22"/>
              <w:spacing w:before="0" w:after="0"/>
              <w:jc w:val="both"/>
              <w:rPr>
                <w:rFonts w:hint="default" w:ascii="宋体" w:hAnsi="宋体" w:cs="Arial"/>
                <w:bCs w:val="0"/>
                <w:caps/>
                <w:color w:val="auto"/>
                <w:kern w:val="2"/>
                <w:sz w:val="24"/>
                <w:szCs w:val="24"/>
                <w:lang w:val="en-US" w:eastAsia="zh-CN"/>
              </w:rPr>
            </w:pPr>
            <w:r>
              <w:rPr>
                <w:rFonts w:hint="eastAsia" w:ascii="宋体" w:hAnsi="宋体" w:cs="Arial"/>
                <w:bCs w:val="0"/>
                <w:caps/>
                <w:color w:val="auto"/>
                <w:kern w:val="2"/>
                <w:sz w:val="24"/>
                <w:szCs w:val="24"/>
                <w:lang w:val="en-US" w:eastAsia="zh-CN"/>
              </w:rPr>
              <w:t>具备电子自动排水功能。</w:t>
            </w:r>
          </w:p>
          <w:p>
            <w:pPr>
              <w:pStyle w:val="22"/>
              <w:spacing w:before="0" w:after="0"/>
              <w:jc w:val="both"/>
              <w:rPr>
                <w:rFonts w:hint="eastAsia" w:ascii="宋体" w:hAnsi="宋体"/>
                <w:color w:val="auto"/>
                <w:sz w:val="24"/>
                <w:szCs w:val="24"/>
                <w:lang w:eastAsia="zh-CN"/>
              </w:rPr>
            </w:pPr>
            <w:r>
              <w:rPr>
                <w:rFonts w:hint="eastAsia" w:ascii="宋体" w:hAnsi="宋体" w:cs="Arial"/>
                <w:bCs w:val="0"/>
                <w:caps/>
                <w:color w:val="auto"/>
                <w:kern w:val="2"/>
                <w:sz w:val="24"/>
                <w:szCs w:val="24"/>
                <w:lang w:eastAsia="zh-CN"/>
              </w:rPr>
              <w:t>具有：远程启\停、运行状态等干接点信号</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URS016</w:t>
            </w:r>
          </w:p>
        </w:tc>
        <w:tc>
          <w:tcPr>
            <w:tcW w:w="5805" w:type="dxa"/>
            <w:noWrap w:val="0"/>
            <w:vAlign w:val="center"/>
          </w:tcPr>
          <w:p>
            <w:pPr>
              <w:pStyle w:val="22"/>
              <w:spacing w:before="0" w:after="0"/>
              <w:jc w:val="both"/>
              <w:rPr>
                <w:rFonts w:hint="eastAsia" w:ascii="宋体" w:hAnsi="宋体"/>
                <w:color w:val="auto"/>
                <w:sz w:val="24"/>
                <w:szCs w:val="24"/>
                <w:lang w:eastAsia="zh-CN"/>
              </w:rPr>
            </w:pPr>
            <w:r>
              <w:rPr>
                <w:rFonts w:hint="eastAsia" w:ascii="宋体" w:hAnsi="宋体" w:cs="Arial"/>
                <w:bCs w:val="0"/>
                <w:caps/>
                <w:color w:val="auto"/>
                <w:kern w:val="2"/>
                <w:sz w:val="24"/>
                <w:szCs w:val="24"/>
                <w:highlight w:val="none"/>
                <w:lang w:eastAsia="zh-CN"/>
              </w:rPr>
              <w:t>微热</w:t>
            </w:r>
            <w:r>
              <w:rPr>
                <w:rFonts w:hint="eastAsia" w:ascii="宋体" w:hAnsi="宋体" w:cs="Arial"/>
                <w:bCs w:val="0"/>
                <w:caps/>
                <w:color w:val="auto"/>
                <w:kern w:val="2"/>
                <w:sz w:val="24"/>
                <w:szCs w:val="24"/>
                <w:lang w:eastAsia="zh-CN"/>
              </w:rPr>
              <w:t>再生：A/B塔循环工作。</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URS017</w:t>
            </w:r>
          </w:p>
        </w:tc>
        <w:tc>
          <w:tcPr>
            <w:tcW w:w="5805" w:type="dxa"/>
            <w:noWrap w:val="0"/>
            <w:vAlign w:val="center"/>
          </w:tcPr>
          <w:p>
            <w:pPr>
              <w:pStyle w:val="22"/>
              <w:spacing w:before="0" w:after="0"/>
              <w:jc w:val="both"/>
              <w:rPr>
                <w:rFonts w:hint="default" w:ascii="宋体" w:hAnsi="宋体"/>
                <w:color w:val="auto"/>
                <w:sz w:val="24"/>
                <w:szCs w:val="24"/>
                <w:lang w:val="en-US" w:eastAsia="zh-CN"/>
              </w:rPr>
            </w:pPr>
            <w:r>
              <w:rPr>
                <w:rFonts w:hint="eastAsia"/>
                <w:color w:val="auto"/>
                <w:sz w:val="24"/>
                <w:szCs w:val="24"/>
                <w:lang w:val="en-US" w:eastAsia="zh-CN"/>
              </w:rPr>
              <w:t>筒体、</w:t>
            </w:r>
            <w:r>
              <w:rPr>
                <w:rFonts w:hint="eastAsia" w:ascii="宋体" w:hAnsi="宋体" w:cs="Arial"/>
                <w:bCs w:val="0"/>
                <w:caps/>
                <w:color w:val="auto"/>
                <w:kern w:val="2"/>
                <w:sz w:val="24"/>
                <w:szCs w:val="24"/>
                <w:lang w:val="en-US" w:eastAsia="zh-CN"/>
              </w:rPr>
              <w:t>阀门采用sus304不锈钢。</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URS018</w:t>
            </w:r>
          </w:p>
        </w:tc>
        <w:tc>
          <w:tcPr>
            <w:tcW w:w="5805" w:type="dxa"/>
            <w:noWrap w:val="0"/>
            <w:vAlign w:val="center"/>
          </w:tcPr>
          <w:p>
            <w:pPr>
              <w:spacing w:line="360" w:lineRule="exact"/>
              <w:rPr>
                <w:rFonts w:hint="eastAsia" w:ascii="宋体" w:hAnsi="宋体" w:eastAsia="宋体"/>
                <w:color w:val="auto"/>
                <w:sz w:val="24"/>
                <w:szCs w:val="24"/>
                <w:lang w:eastAsia="zh-CN"/>
              </w:rPr>
            </w:pPr>
            <w:r>
              <w:rPr>
                <w:rFonts w:hint="eastAsia" w:ascii="宋体" w:hAnsi="宋体" w:cs="Arial"/>
                <w:bCs w:val="0"/>
                <w:caps/>
                <w:color w:val="auto"/>
                <w:kern w:val="2"/>
                <w:sz w:val="24"/>
                <w:szCs w:val="24"/>
                <w:highlight w:val="none"/>
                <w:lang w:eastAsia="zh-CN"/>
              </w:rPr>
              <w:t>微热</w:t>
            </w:r>
            <w:r>
              <w:rPr>
                <w:rFonts w:hint="eastAsia" w:ascii="宋体" w:hAnsi="宋体"/>
                <w:color w:val="auto"/>
                <w:sz w:val="24"/>
                <w:szCs w:val="24"/>
              </w:rPr>
              <w:t>再生吸附式干燥机使用氧化铝分子筛，使用年限超过2年。总出为压力露点≤-40℃</w:t>
            </w:r>
            <w:r>
              <w:rPr>
                <w:rFonts w:hint="eastAsia" w:ascii="宋体" w:hAnsi="宋体"/>
                <w:color w:val="auto"/>
                <w:sz w:val="24"/>
                <w:szCs w:val="24"/>
                <w:lang w:eastAsia="zh-CN"/>
              </w:rPr>
              <w:t>。</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URS019</w:t>
            </w:r>
          </w:p>
        </w:tc>
        <w:tc>
          <w:tcPr>
            <w:tcW w:w="5805" w:type="dxa"/>
            <w:noWrap w:val="0"/>
            <w:vAlign w:val="center"/>
          </w:tcPr>
          <w:p>
            <w:pPr>
              <w:spacing w:line="360" w:lineRule="exact"/>
              <w:rPr>
                <w:rFonts w:hint="eastAsia" w:ascii="宋体" w:hAnsi="宋体"/>
                <w:color w:val="auto"/>
                <w:sz w:val="24"/>
                <w:szCs w:val="24"/>
                <w:lang w:eastAsia="zh-CN"/>
              </w:rPr>
            </w:pPr>
            <w:r>
              <w:rPr>
                <w:rFonts w:hint="eastAsia" w:ascii="宋体" w:hAnsi="宋体" w:cs="Arial"/>
                <w:bCs/>
                <w:caps/>
                <w:color w:val="auto"/>
                <w:sz w:val="24"/>
                <w:szCs w:val="24"/>
              </w:rPr>
              <w:t>具有：远程启\停、运行状态等干接点信号</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bl>
    <w:p>
      <w:pPr>
        <w:spacing w:line="480" w:lineRule="auto"/>
        <w:rPr>
          <w:rFonts w:hint="default" w:eastAsia="宋体"/>
          <w:color w:val="auto"/>
          <w:sz w:val="24"/>
          <w:szCs w:val="24"/>
          <w:lang w:val="en-US" w:eastAsia="zh-CN"/>
        </w:rPr>
      </w:pPr>
      <w:r>
        <w:rPr>
          <w:rFonts w:hint="eastAsia"/>
          <w:color w:val="auto"/>
          <w:sz w:val="24"/>
          <w:szCs w:val="24"/>
          <w:lang w:val="en-US" w:eastAsia="zh-CN"/>
        </w:rPr>
        <w:t>4.5管道</w:t>
      </w:r>
    </w:p>
    <w:tbl>
      <w:tblPr>
        <w:tblStyle w:val="11"/>
        <w:tblW w:w="9296"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5" w:hRule="atLeast"/>
          <w:tblHeader/>
        </w:trPr>
        <w:tc>
          <w:tcPr>
            <w:tcW w:w="179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top"/>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1795" w:type="dxa"/>
            <w:tcBorders>
              <w:top w:val="double" w:color="auto" w:sz="4" w:space="0"/>
            </w:tcBorders>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URS020</w:t>
            </w:r>
          </w:p>
        </w:tc>
        <w:tc>
          <w:tcPr>
            <w:tcW w:w="5805" w:type="dxa"/>
            <w:tcBorders>
              <w:top w:val="double" w:color="auto" w:sz="4" w:space="0"/>
            </w:tcBorders>
            <w:noWrap w:val="0"/>
            <w:vAlign w:val="center"/>
          </w:tcPr>
          <w:p>
            <w:pPr>
              <w:spacing w:line="360" w:lineRule="exac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所有压力容器和压力管道按1</w:t>
            </w:r>
            <w:r>
              <w:rPr>
                <w:rFonts w:hint="eastAsia" w:asciiTheme="minorEastAsia" w:hAnsiTheme="minorEastAsia" w:eastAsiaTheme="minorEastAsia" w:cstheme="minorEastAsia"/>
                <w:color w:val="auto"/>
                <w:sz w:val="24"/>
                <w:szCs w:val="24"/>
                <w:lang w:val="en-US" w:eastAsia="zh-CN"/>
              </w:rPr>
              <w:t>0</w:t>
            </w:r>
            <w:r>
              <w:rPr>
                <w:rFonts w:hint="eastAsia" w:asciiTheme="minorEastAsia" w:hAnsiTheme="minorEastAsia" w:eastAsiaTheme="minorEastAsia" w:cstheme="minorEastAsia"/>
                <w:color w:val="auto"/>
                <w:sz w:val="24"/>
                <w:szCs w:val="24"/>
              </w:rPr>
              <w:t>Bar压力设计。</w:t>
            </w:r>
          </w:p>
        </w:tc>
        <w:tc>
          <w:tcPr>
            <w:tcW w:w="1696" w:type="dxa"/>
            <w:tcBorders>
              <w:top w:val="double" w:color="auto" w:sz="4" w:space="0"/>
            </w:tcBorders>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URS021</w:t>
            </w:r>
          </w:p>
        </w:tc>
        <w:tc>
          <w:tcPr>
            <w:tcW w:w="5805" w:type="dxa"/>
            <w:noWrap w:val="0"/>
            <w:vAlign w:val="center"/>
          </w:tcPr>
          <w:p>
            <w:pPr>
              <w:spacing w:line="360" w:lineRule="exac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管道及阀门的配置需要预留备用机接口。</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URS022</w:t>
            </w:r>
          </w:p>
        </w:tc>
        <w:tc>
          <w:tcPr>
            <w:tcW w:w="5805" w:type="dxa"/>
            <w:noWrap w:val="0"/>
            <w:vAlign w:val="center"/>
          </w:tcPr>
          <w:p>
            <w:pPr>
              <w:spacing w:line="360" w:lineRule="exac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阀门使用卫生级球阀</w:t>
            </w:r>
            <w:r>
              <w:rPr>
                <w:rFonts w:hint="eastAsia" w:asciiTheme="minorEastAsia" w:hAnsiTheme="minorEastAsia" w:eastAsiaTheme="minorEastAsia" w:cstheme="minorEastAsia"/>
                <w:color w:val="auto"/>
                <w:sz w:val="24"/>
                <w:szCs w:val="24"/>
                <w:lang w:val="en-US" w:eastAsia="zh-CN"/>
              </w:rPr>
              <w:t>,品牌：远安，东正</w:t>
            </w:r>
            <w:r>
              <w:rPr>
                <w:rFonts w:hint="eastAsia" w:asciiTheme="minorEastAsia" w:hAnsiTheme="minorEastAsia" w:eastAsiaTheme="minorEastAsia" w:cstheme="minorEastAsia"/>
                <w:color w:val="auto"/>
                <w:sz w:val="24"/>
                <w:szCs w:val="24"/>
              </w:rPr>
              <w:t>。</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URS023</w:t>
            </w:r>
          </w:p>
        </w:tc>
        <w:tc>
          <w:tcPr>
            <w:tcW w:w="5805" w:type="dxa"/>
            <w:noWrap w:val="0"/>
            <w:vAlign w:val="center"/>
          </w:tcPr>
          <w:p>
            <w:pPr>
              <w:spacing w:line="360" w:lineRule="exac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总出配在线露点检测仪，露点仪需满足就地显示和远程数据传输显示，品牌需为：维萨拉</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萨米尔、</w:t>
            </w:r>
            <w:r>
              <w:rPr>
                <w:rFonts w:hint="eastAsia" w:asciiTheme="minorEastAsia" w:hAnsiTheme="minorEastAsia" w:eastAsiaTheme="minorEastAsia" w:cstheme="minorEastAsia"/>
                <w:color w:val="auto"/>
                <w:sz w:val="24"/>
                <w:szCs w:val="24"/>
              </w:rPr>
              <w:t>米歇尔</w:t>
            </w:r>
            <w:r>
              <w:rPr>
                <w:rFonts w:hint="eastAsia" w:asciiTheme="minorEastAsia" w:hAnsiTheme="minorEastAsia" w:eastAsiaTheme="minorEastAsia" w:cstheme="minorEastAsia"/>
                <w:color w:val="auto"/>
                <w:sz w:val="24"/>
                <w:szCs w:val="24"/>
                <w:lang w:val="en-US" w:eastAsia="zh-CN"/>
              </w:rPr>
              <w:t>或同等品牌</w:t>
            </w:r>
            <w:r>
              <w:rPr>
                <w:rFonts w:hint="eastAsia" w:asciiTheme="minorEastAsia" w:hAnsiTheme="minorEastAsia" w:eastAsiaTheme="minorEastAsia" w:cstheme="minorEastAsia"/>
                <w:color w:val="auto"/>
                <w:sz w:val="24"/>
                <w:szCs w:val="24"/>
              </w:rPr>
              <w:t>。</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URS024</w:t>
            </w:r>
          </w:p>
        </w:tc>
        <w:tc>
          <w:tcPr>
            <w:tcW w:w="5805" w:type="dxa"/>
            <w:noWrap w:val="0"/>
            <w:vAlign w:val="center"/>
          </w:tcPr>
          <w:p>
            <w:pPr>
              <w:spacing w:line="360" w:lineRule="exac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气体泄放要使用消声装置。</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URS025</w:t>
            </w:r>
          </w:p>
        </w:tc>
        <w:tc>
          <w:tcPr>
            <w:tcW w:w="5805" w:type="dxa"/>
            <w:noWrap w:val="0"/>
            <w:vAlign w:val="center"/>
          </w:tcPr>
          <w:p>
            <w:pPr>
              <w:spacing w:line="360" w:lineRule="exac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设备、紧固件、密封件应表面光洁、平整、易清洗（或消毒），耐腐蚀，不与物料发生化学反应或吸附，提供报告。</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URS026</w:t>
            </w:r>
          </w:p>
        </w:tc>
        <w:tc>
          <w:tcPr>
            <w:tcW w:w="5805" w:type="dxa"/>
            <w:noWrap w:val="0"/>
            <w:vAlign w:val="center"/>
          </w:tcPr>
          <w:p>
            <w:pPr>
              <w:spacing w:line="300" w:lineRule="exac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压缩空气流经</w:t>
            </w:r>
            <w:r>
              <w:rPr>
                <w:rFonts w:hint="eastAsia" w:asciiTheme="minorEastAsia" w:hAnsiTheme="minorEastAsia" w:eastAsiaTheme="minorEastAsia" w:cstheme="minorEastAsia"/>
                <w:color w:val="auto"/>
                <w:sz w:val="24"/>
                <w:szCs w:val="24"/>
                <w:lang w:val="en-US" w:eastAsia="zh-CN"/>
              </w:rPr>
              <w:t>的所有</w:t>
            </w:r>
            <w:r>
              <w:rPr>
                <w:rFonts w:hint="eastAsia" w:asciiTheme="minorEastAsia" w:hAnsiTheme="minorEastAsia" w:eastAsiaTheme="minorEastAsia" w:cstheme="minorEastAsia"/>
                <w:color w:val="auto"/>
                <w:sz w:val="24"/>
                <w:szCs w:val="24"/>
              </w:rPr>
              <w:t>管路、阀门、筒体也均采用SUS304不锈钢，管路排列整齐美观，各金属焊缝、焊点表面应平整抛光，不得有明显</w:t>
            </w:r>
            <w:r>
              <w:rPr>
                <w:rFonts w:hint="eastAsia" w:asciiTheme="minorEastAsia" w:hAnsiTheme="minorEastAsia" w:eastAsiaTheme="minorEastAsia" w:cstheme="minorEastAsia"/>
                <w:color w:val="auto"/>
                <w:sz w:val="24"/>
                <w:szCs w:val="24"/>
                <w:lang w:val="en-US" w:eastAsia="zh-CN"/>
              </w:rPr>
              <w:t>焊瘤</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余高</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裂缝、咬边</w:t>
            </w:r>
            <w:r>
              <w:rPr>
                <w:rFonts w:hint="eastAsia" w:asciiTheme="minorEastAsia" w:hAnsiTheme="minorEastAsia" w:eastAsiaTheme="minorEastAsia" w:cstheme="minorEastAsia"/>
                <w:color w:val="auto"/>
                <w:sz w:val="24"/>
                <w:szCs w:val="24"/>
              </w:rPr>
              <w:t>等缺陷。</w:t>
            </w:r>
          </w:p>
          <w:p>
            <w:pPr>
              <w:spacing w:line="300" w:lineRule="exac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空压机内部与空气或压缩空气直接接触的表面粗糙度Ra≤0.8 µm，外表面粗糙度Ra≤1.6µm，提供报告。</w:t>
            </w:r>
          </w:p>
          <w:p>
            <w:pPr>
              <w:spacing w:line="300" w:lineRule="exac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所有管机械加工后</w:t>
            </w:r>
            <w:r>
              <w:rPr>
                <w:rFonts w:hint="eastAsia" w:asciiTheme="minorEastAsia" w:hAnsiTheme="minorEastAsia" w:eastAsiaTheme="minorEastAsia" w:cstheme="minorEastAsia"/>
                <w:color w:val="auto"/>
                <w:sz w:val="24"/>
                <w:szCs w:val="24"/>
                <w:lang w:eastAsia="zh-CN"/>
              </w:rPr>
              <w:t>必需</w:t>
            </w:r>
            <w:r>
              <w:rPr>
                <w:rFonts w:hint="eastAsia" w:asciiTheme="minorEastAsia" w:hAnsiTheme="minorEastAsia" w:eastAsiaTheme="minorEastAsia" w:cstheme="minorEastAsia"/>
                <w:color w:val="auto"/>
                <w:sz w:val="24"/>
                <w:szCs w:val="24"/>
              </w:rPr>
              <w:t>做防锈处理，在高湿</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高、低温的情况下，不得生锈。</w:t>
            </w:r>
          </w:p>
          <w:p>
            <w:pPr>
              <w:spacing w:line="300" w:lineRule="exac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设备、紧固件、密封件应表面光洁、平整、易清洗（或消毒），耐腐蚀，不与物料发生化学反应或吸附。提供报告。</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URS027</w:t>
            </w:r>
          </w:p>
        </w:tc>
        <w:tc>
          <w:tcPr>
            <w:tcW w:w="5805" w:type="dxa"/>
            <w:noWrap w:val="0"/>
            <w:vAlign w:val="center"/>
          </w:tcPr>
          <w:p>
            <w:pPr>
              <w:spacing w:line="320" w:lineRule="exact"/>
              <w:ind w:left="12"/>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各个零部件、设备、电气及仪表部件都配上金属标牌(有相应的位号)以便于识别和方便操作。</w:t>
            </w:r>
          </w:p>
          <w:p>
            <w:pPr>
              <w:spacing w:line="320" w:lineRule="exact"/>
              <w:ind w:left="12"/>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机组外部设置铭牌，材质为不锈钢刻蚀。</w:t>
            </w:r>
          </w:p>
          <w:p>
            <w:pPr>
              <w:spacing w:line="300" w:lineRule="exac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对检修或者操作人员有伤害的接触（包含但不限于：触电、烫伤、冻伤、割伤等）</w:t>
            </w:r>
            <w:r>
              <w:rPr>
                <w:rFonts w:hint="eastAsia" w:asciiTheme="minorEastAsia" w:hAnsiTheme="minorEastAsia" w:eastAsiaTheme="minorEastAsia" w:cstheme="minorEastAsia"/>
                <w:color w:val="auto"/>
                <w:sz w:val="24"/>
                <w:szCs w:val="24"/>
                <w:lang w:eastAsia="zh-CN"/>
              </w:rPr>
              <w:t>必需</w:t>
            </w:r>
            <w:r>
              <w:rPr>
                <w:rFonts w:hint="eastAsia" w:asciiTheme="minorEastAsia" w:hAnsiTheme="minorEastAsia" w:eastAsiaTheme="minorEastAsia" w:cstheme="minorEastAsia"/>
                <w:color w:val="auto"/>
                <w:sz w:val="24"/>
                <w:szCs w:val="24"/>
              </w:rPr>
              <w:t>采取保护措施。</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bl>
    <w:p>
      <w:pPr>
        <w:spacing w:line="480" w:lineRule="auto"/>
        <w:rPr>
          <w:rFonts w:hint="default" w:eastAsia="宋体"/>
          <w:color w:val="auto"/>
          <w:sz w:val="24"/>
          <w:szCs w:val="24"/>
          <w:lang w:val="en-US" w:eastAsia="zh-CN"/>
        </w:rPr>
      </w:pPr>
      <w:r>
        <w:rPr>
          <w:rFonts w:hint="eastAsia"/>
          <w:color w:val="auto"/>
          <w:sz w:val="24"/>
          <w:szCs w:val="24"/>
          <w:lang w:val="en-US" w:eastAsia="zh-CN"/>
        </w:rPr>
        <w:t>4.6控制要求</w:t>
      </w:r>
    </w:p>
    <w:tbl>
      <w:tblPr>
        <w:tblStyle w:val="11"/>
        <w:tblW w:w="9296"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8" w:hRule="atLeast"/>
          <w:tblHeader/>
        </w:trPr>
        <w:tc>
          <w:tcPr>
            <w:tcW w:w="179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center"/>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1795" w:type="dxa"/>
            <w:tcBorders>
              <w:top w:val="double" w:color="auto" w:sz="4" w:space="0"/>
            </w:tcBorders>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URS028</w:t>
            </w:r>
          </w:p>
        </w:tc>
        <w:tc>
          <w:tcPr>
            <w:tcW w:w="5805" w:type="dxa"/>
            <w:tcBorders>
              <w:top w:val="double" w:color="auto" w:sz="4" w:space="0"/>
            </w:tcBorders>
            <w:noWrap w:val="0"/>
            <w:vAlign w:val="center"/>
          </w:tcPr>
          <w:p>
            <w:pPr>
              <w:pStyle w:val="5"/>
              <w:rPr>
                <w:rFonts w:hint="eastAsia" w:ascii="Calibri" w:hAnsi="Calibri" w:eastAsia="宋体" w:cs="Arial"/>
                <w:color w:val="auto"/>
                <w:kern w:val="2"/>
                <w:sz w:val="24"/>
                <w:szCs w:val="24"/>
                <w:lang w:val="de-DE" w:eastAsia="zh-CN" w:bidi="ar-SA"/>
              </w:rPr>
            </w:pPr>
            <w:r>
              <w:rPr>
                <w:rFonts w:ascii="Calibri" w:hAnsi="Calibri" w:cs="Arial"/>
                <w:color w:val="auto"/>
                <w:sz w:val="24"/>
                <w:szCs w:val="24"/>
                <w:lang w:val="de-DE" w:eastAsia="zh-CN"/>
              </w:rPr>
              <w:t>主要工艺参数可通过操作界面设定和调整</w:t>
            </w:r>
            <w:r>
              <w:rPr>
                <w:rFonts w:hint="eastAsia" w:ascii="Calibri" w:hAnsi="Calibri" w:cs="Arial"/>
                <w:color w:val="auto"/>
                <w:sz w:val="24"/>
                <w:szCs w:val="24"/>
                <w:lang w:val="de-DE" w:eastAsia="zh-CN"/>
              </w:rPr>
              <w:t>，</w:t>
            </w:r>
            <w:r>
              <w:rPr>
                <w:rFonts w:ascii="Calibri" w:hAnsi="Calibri" w:cs="Arial"/>
                <w:color w:val="auto"/>
                <w:sz w:val="24"/>
                <w:szCs w:val="24"/>
                <w:lang w:val="de-DE" w:eastAsia="zh-CN"/>
              </w:rPr>
              <w:t>可动态观察</w:t>
            </w:r>
            <w:r>
              <w:rPr>
                <w:rFonts w:hint="eastAsia" w:ascii="Calibri" w:hAnsi="Calibri" w:cs="Arial"/>
                <w:color w:val="auto"/>
                <w:sz w:val="24"/>
                <w:szCs w:val="24"/>
                <w:lang w:val="de-DE" w:eastAsia="zh-CN"/>
              </w:rPr>
              <w:t>影响</w:t>
            </w:r>
            <w:r>
              <w:rPr>
                <w:rFonts w:ascii="Calibri" w:hAnsi="Calibri" w:cs="Arial"/>
                <w:color w:val="auto"/>
                <w:sz w:val="24"/>
                <w:szCs w:val="24"/>
                <w:lang w:val="de-DE" w:eastAsia="zh-CN"/>
              </w:rPr>
              <w:t>参数数值</w:t>
            </w:r>
            <w:r>
              <w:rPr>
                <w:rFonts w:hint="eastAsia" w:ascii="Calibri" w:hAnsi="Calibri" w:cs="Arial"/>
                <w:color w:val="auto"/>
                <w:sz w:val="24"/>
                <w:szCs w:val="24"/>
                <w:lang w:val="de-DE" w:eastAsia="zh-CN"/>
              </w:rPr>
              <w:t>。能够实时显示设备运行起止时间和累计运行时间等。</w:t>
            </w:r>
          </w:p>
        </w:tc>
        <w:tc>
          <w:tcPr>
            <w:tcW w:w="1696" w:type="dxa"/>
            <w:tcBorders>
              <w:top w:val="double" w:color="auto" w:sz="4" w:space="0"/>
            </w:tcBorders>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4"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URS029</w:t>
            </w:r>
          </w:p>
        </w:tc>
        <w:tc>
          <w:tcPr>
            <w:tcW w:w="5805" w:type="dxa"/>
            <w:noWrap w:val="0"/>
            <w:vAlign w:val="center"/>
          </w:tcPr>
          <w:p>
            <w:pPr>
              <w:pStyle w:val="5"/>
              <w:rPr>
                <w:rFonts w:hint="eastAsia" w:ascii="Calibri" w:hAnsi="Calibri" w:eastAsia="宋体" w:cs="Arial"/>
                <w:color w:val="auto"/>
                <w:kern w:val="2"/>
                <w:sz w:val="24"/>
                <w:szCs w:val="24"/>
                <w:lang w:val="en-US" w:eastAsia="zh-CN" w:bidi="ar-SA"/>
              </w:rPr>
            </w:pPr>
            <w:r>
              <w:rPr>
                <w:rFonts w:hint="eastAsia" w:ascii="Calibri" w:hAnsi="Calibri" w:cs="Arial"/>
                <w:color w:val="auto"/>
                <w:sz w:val="24"/>
                <w:szCs w:val="24"/>
                <w:lang w:val="en-US" w:eastAsia="zh-CN"/>
              </w:rPr>
              <w:t>设备及工艺出现异常、故障需要被记录。</w:t>
            </w:r>
          </w:p>
        </w:tc>
        <w:tc>
          <w:tcPr>
            <w:tcW w:w="1696" w:type="dxa"/>
            <w:noWrap w:val="0"/>
            <w:vAlign w:val="center"/>
          </w:tcPr>
          <w:p>
            <w:pPr>
              <w:spacing w:line="360" w:lineRule="auto"/>
              <w:ind w:left="1" w:right="71" w:rightChars="34"/>
              <w:jc w:val="center"/>
              <w:rPr>
                <w:rFonts w:hint="default"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4"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URS030</w:t>
            </w:r>
          </w:p>
        </w:tc>
        <w:tc>
          <w:tcPr>
            <w:tcW w:w="5805" w:type="dxa"/>
            <w:noWrap w:val="0"/>
            <w:vAlign w:val="center"/>
          </w:tcPr>
          <w:p>
            <w:pPr>
              <w:pStyle w:val="5"/>
              <w:rPr>
                <w:rFonts w:hint="eastAsia" w:ascii="Calibri" w:hAnsi="Calibri" w:cs="Arial"/>
                <w:color w:val="auto"/>
                <w:sz w:val="24"/>
                <w:szCs w:val="24"/>
                <w:lang w:val="en-US" w:eastAsia="zh-CN"/>
              </w:rPr>
            </w:pPr>
            <w:r>
              <w:rPr>
                <w:rFonts w:hint="eastAsia" w:ascii="宋体" w:hAnsi="宋体"/>
                <w:color w:val="auto"/>
                <w:sz w:val="24"/>
                <w:szCs w:val="24"/>
              </w:rPr>
              <w:t>空压机参数设定：使用微电脑输入，不使用机械式参数设定</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URS031</w:t>
            </w:r>
          </w:p>
        </w:tc>
        <w:tc>
          <w:tcPr>
            <w:tcW w:w="5805" w:type="dxa"/>
            <w:noWrap w:val="0"/>
            <w:vAlign w:val="center"/>
          </w:tcPr>
          <w:p>
            <w:pPr>
              <w:pStyle w:val="5"/>
              <w:rPr>
                <w:rFonts w:hint="eastAsia" w:ascii="Calibri" w:hAnsi="Calibri" w:eastAsia="宋体" w:cs="Arial"/>
                <w:color w:val="auto"/>
                <w:kern w:val="2"/>
                <w:sz w:val="24"/>
                <w:szCs w:val="24"/>
                <w:lang w:val="en-US" w:eastAsia="zh-CN" w:bidi="ar-SA"/>
              </w:rPr>
            </w:pPr>
            <w:r>
              <w:rPr>
                <w:rFonts w:hint="eastAsia" w:ascii="Calibri" w:hAnsi="Calibri" w:cs="Arial"/>
                <w:color w:val="auto"/>
                <w:sz w:val="24"/>
                <w:szCs w:val="24"/>
                <w:lang w:val="en-US" w:eastAsia="zh-CN"/>
              </w:rPr>
              <w:t>外部公用工程介质或必要条件出现异常时，设备不能启动，并有提示。</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URS032</w:t>
            </w:r>
          </w:p>
        </w:tc>
        <w:tc>
          <w:tcPr>
            <w:tcW w:w="5805" w:type="dxa"/>
            <w:noWrap w:val="0"/>
            <w:vAlign w:val="center"/>
          </w:tcPr>
          <w:p>
            <w:pPr>
              <w:pStyle w:val="5"/>
              <w:tabs>
                <w:tab w:val="left" w:pos="1807"/>
              </w:tabs>
              <w:rPr>
                <w:rFonts w:hint="eastAsia" w:ascii="Calibri" w:hAnsi="Calibri" w:eastAsia="宋体" w:cs="Arial"/>
                <w:color w:val="auto"/>
                <w:kern w:val="2"/>
                <w:sz w:val="24"/>
                <w:szCs w:val="24"/>
                <w:lang w:val="en-US" w:eastAsia="zh-CN" w:bidi="ar-SA"/>
              </w:rPr>
            </w:pPr>
            <w:r>
              <w:rPr>
                <w:rFonts w:hint="eastAsia" w:ascii="Calibri" w:hAnsi="Calibri" w:cs="Arial"/>
                <w:color w:val="auto"/>
                <w:sz w:val="24"/>
                <w:szCs w:val="24"/>
                <w:lang w:val="en-US" w:eastAsia="zh-CN"/>
              </w:rPr>
              <w:t>运行控制方式及要求：每台（套）压缩空气机组均有独立的控制系统，全自动微电脑控制，公制单位；能够显示机组运行状态。有必要的故障报警显示及保护功能；有运行历史、故障记录功能。</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URS033</w:t>
            </w:r>
          </w:p>
        </w:tc>
        <w:tc>
          <w:tcPr>
            <w:tcW w:w="5805" w:type="dxa"/>
            <w:noWrap w:val="0"/>
            <w:vAlign w:val="center"/>
          </w:tcPr>
          <w:p>
            <w:pPr>
              <w:pStyle w:val="5"/>
              <w:tabs>
                <w:tab w:val="left" w:pos="1223"/>
              </w:tabs>
              <w:rPr>
                <w:rFonts w:ascii="Calibri" w:hAnsi="Calibri" w:cs="Arial"/>
                <w:color w:val="auto"/>
                <w:sz w:val="24"/>
                <w:szCs w:val="24"/>
                <w:lang w:val="en-US" w:eastAsia="zh-CN"/>
              </w:rPr>
            </w:pPr>
            <w:r>
              <w:rPr>
                <w:rFonts w:hint="eastAsia" w:ascii="Calibri" w:hAnsi="Calibri" w:cs="Arial"/>
                <w:color w:val="auto"/>
                <w:sz w:val="24"/>
                <w:szCs w:val="24"/>
                <w:lang w:val="en-US" w:eastAsia="zh-CN"/>
              </w:rPr>
              <w:t>机组控制应能配置成手动或自动启动／停机，自动运行。控制系统应能提供远程启/停、故障报警等基本功能。</w:t>
            </w:r>
          </w:p>
          <w:p>
            <w:pPr>
              <w:pStyle w:val="5"/>
              <w:tabs>
                <w:tab w:val="left" w:pos="1223"/>
              </w:tabs>
              <w:rPr>
                <w:rFonts w:hint="eastAsia" w:ascii="Calibri" w:hAnsi="Calibri" w:eastAsia="宋体" w:cs="Arial"/>
                <w:color w:val="auto"/>
                <w:kern w:val="2"/>
                <w:sz w:val="24"/>
                <w:szCs w:val="24"/>
                <w:lang w:val="en-US" w:eastAsia="zh-CN" w:bidi="ar-SA"/>
              </w:rPr>
            </w:pPr>
            <w:r>
              <w:rPr>
                <w:rFonts w:hint="eastAsia" w:ascii="Calibri" w:hAnsi="Calibri" w:cs="Arial"/>
                <w:color w:val="auto"/>
                <w:sz w:val="24"/>
                <w:szCs w:val="24"/>
                <w:lang w:val="en-US" w:eastAsia="zh-CN"/>
              </w:rPr>
              <w:t>控制系统应能使压缩机平缓启动/停机。</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URS034</w:t>
            </w:r>
          </w:p>
        </w:tc>
        <w:tc>
          <w:tcPr>
            <w:tcW w:w="5805" w:type="dxa"/>
            <w:noWrap w:val="0"/>
            <w:vAlign w:val="center"/>
          </w:tcPr>
          <w:p>
            <w:pPr>
              <w:pStyle w:val="5"/>
              <w:tabs>
                <w:tab w:val="left" w:pos="1223"/>
              </w:tabs>
              <w:rPr>
                <w:rFonts w:ascii="Calibri" w:hAnsi="Calibri" w:cs="Arial"/>
                <w:color w:val="auto"/>
                <w:sz w:val="24"/>
                <w:szCs w:val="24"/>
                <w:lang w:val="en-US" w:eastAsia="zh-CN"/>
              </w:rPr>
            </w:pPr>
            <w:r>
              <w:rPr>
                <w:rFonts w:hint="eastAsia" w:ascii="Calibri" w:hAnsi="Calibri" w:cs="Arial"/>
                <w:color w:val="auto"/>
                <w:sz w:val="24"/>
                <w:szCs w:val="24"/>
                <w:lang w:val="en-US" w:eastAsia="zh-CN"/>
              </w:rPr>
              <w:t>远程监控：</w:t>
            </w:r>
          </w:p>
          <w:p>
            <w:pPr>
              <w:pStyle w:val="5"/>
              <w:tabs>
                <w:tab w:val="left" w:pos="1223"/>
              </w:tabs>
              <w:rPr>
                <w:rFonts w:hint="eastAsia" w:ascii="Calibri" w:hAnsi="Calibri" w:eastAsia="宋体" w:cs="Arial"/>
                <w:color w:val="auto"/>
                <w:kern w:val="2"/>
                <w:sz w:val="24"/>
                <w:szCs w:val="24"/>
                <w:lang w:val="en-US" w:eastAsia="zh-CN" w:bidi="ar-SA"/>
              </w:rPr>
            </w:pPr>
            <w:r>
              <w:rPr>
                <w:rFonts w:hint="eastAsia" w:ascii="Calibri" w:hAnsi="Calibri" w:cs="Arial"/>
                <w:color w:val="auto"/>
                <w:sz w:val="24"/>
                <w:szCs w:val="24"/>
                <w:lang w:val="en-US" w:eastAsia="zh-CN"/>
              </w:rPr>
              <w:t>空压机预留以太网接口，免费提供通用型通讯协议，以对接工厂的D</w:t>
            </w:r>
            <w:r>
              <w:rPr>
                <w:rFonts w:ascii="Calibri" w:hAnsi="Calibri" w:cs="Arial"/>
                <w:color w:val="auto"/>
                <w:sz w:val="24"/>
                <w:szCs w:val="24"/>
                <w:lang w:val="en-US" w:eastAsia="zh-CN"/>
              </w:rPr>
              <w:t>CS</w:t>
            </w:r>
            <w:r>
              <w:rPr>
                <w:rFonts w:hint="eastAsia" w:ascii="Calibri" w:hAnsi="Calibri" w:cs="Arial"/>
                <w:color w:val="auto"/>
                <w:sz w:val="24"/>
                <w:szCs w:val="24"/>
                <w:lang w:val="en-US" w:eastAsia="zh-CN"/>
              </w:rPr>
              <w:t>系统。压缩空气机组控制系统应配置完整的控制硬件和软件，免费提供通讯协议直接与楼宇自动化系统连接和通讯。控制器最少还应能接受远距离启动、停机、故障反馈信号及运行参数。</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0" w:type="auto"/>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URS035</w:t>
            </w:r>
          </w:p>
        </w:tc>
        <w:tc>
          <w:tcPr>
            <w:tcW w:w="0" w:type="auto"/>
            <w:noWrap w:val="0"/>
            <w:vAlign w:val="center"/>
          </w:tcPr>
          <w:p>
            <w:pPr>
              <w:rPr>
                <w:color w:val="auto"/>
                <w:sz w:val="24"/>
                <w:szCs w:val="24"/>
              </w:rPr>
            </w:pPr>
            <w:r>
              <w:rPr>
                <w:rFonts w:hint="eastAsia"/>
                <w:color w:val="auto"/>
                <w:sz w:val="24"/>
                <w:szCs w:val="24"/>
              </w:rPr>
              <w:t>系统安全，允许用户使用登录名和密码进行登录。</w:t>
            </w:r>
          </w:p>
          <w:p>
            <w:pPr>
              <w:pStyle w:val="5"/>
              <w:tabs>
                <w:tab w:val="left" w:pos="1223"/>
              </w:tabs>
              <w:rPr>
                <w:rFonts w:hint="eastAsia" w:ascii="Calibri" w:hAnsi="Calibri" w:eastAsia="宋体" w:cs="Arial"/>
                <w:color w:val="auto"/>
                <w:kern w:val="2"/>
                <w:sz w:val="24"/>
                <w:szCs w:val="24"/>
                <w:lang w:val="en-US" w:eastAsia="zh-CN" w:bidi="ar-SA"/>
              </w:rPr>
            </w:pPr>
            <w:r>
              <w:rPr>
                <w:rFonts w:hint="eastAsia"/>
                <w:color w:val="auto"/>
                <w:sz w:val="24"/>
                <w:szCs w:val="24"/>
              </w:rPr>
              <w:t>具有实现</w:t>
            </w:r>
            <w:r>
              <w:rPr>
                <w:color w:val="auto"/>
                <w:sz w:val="24"/>
                <w:szCs w:val="24"/>
              </w:rPr>
              <w:t>3</w:t>
            </w:r>
            <w:r>
              <w:rPr>
                <w:rFonts w:hint="eastAsia"/>
                <w:color w:val="auto"/>
                <w:sz w:val="24"/>
                <w:szCs w:val="24"/>
              </w:rPr>
              <w:t>级保护的权限等级功能。每个等级拥有相应的可设置安全权限，用于修改参数及使用屏幕数据。进入各个等级的权限人员由系统管理员设置。提供至少</w:t>
            </w:r>
            <w:r>
              <w:rPr>
                <w:color w:val="auto"/>
                <w:sz w:val="24"/>
                <w:szCs w:val="24"/>
              </w:rPr>
              <w:t>3</w:t>
            </w:r>
            <w:r>
              <w:rPr>
                <w:rFonts w:hint="eastAsia"/>
                <w:color w:val="auto"/>
                <w:sz w:val="24"/>
                <w:szCs w:val="24"/>
              </w:rPr>
              <w:t>种不同受限的通行级别</w:t>
            </w:r>
            <w:r>
              <w:rPr>
                <w:rFonts w:hint="eastAsia" w:ascii="Calibri" w:hAnsi="Calibri" w:cs="Arial"/>
                <w:color w:val="auto"/>
                <w:sz w:val="24"/>
                <w:szCs w:val="24"/>
              </w:rPr>
              <w:t>。</w:t>
            </w:r>
          </w:p>
        </w:tc>
        <w:tc>
          <w:tcPr>
            <w:tcW w:w="0" w:type="auto"/>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期望</w:t>
            </w:r>
          </w:p>
        </w:tc>
      </w:tr>
    </w:tbl>
    <w:p>
      <w:pPr>
        <w:spacing w:line="480" w:lineRule="auto"/>
        <w:rPr>
          <w:rFonts w:hint="default" w:eastAsia="宋体"/>
          <w:color w:val="auto"/>
          <w:sz w:val="24"/>
          <w:szCs w:val="24"/>
          <w:lang w:val="en-US" w:eastAsia="zh-CN"/>
        </w:rPr>
      </w:pPr>
      <w:r>
        <w:rPr>
          <w:rFonts w:hint="eastAsia"/>
          <w:color w:val="auto"/>
          <w:sz w:val="24"/>
          <w:szCs w:val="24"/>
          <w:lang w:val="en-US" w:eastAsia="zh-CN"/>
        </w:rPr>
        <w:t>4.7制造及加工材料</w:t>
      </w:r>
    </w:p>
    <w:tbl>
      <w:tblPr>
        <w:tblStyle w:val="11"/>
        <w:tblW w:w="9296"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5" w:hRule="atLeast"/>
          <w:tblHeader/>
        </w:trPr>
        <w:tc>
          <w:tcPr>
            <w:tcW w:w="179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center"/>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URS036</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阀门及管件使用SUS304材质，内抛光。设备及后处理设备与压缩空气接触的部分使用SUS304不锈钢。</w:t>
            </w:r>
            <w:r>
              <w:rPr>
                <w:rFonts w:hint="eastAsia" w:ascii="宋体" w:hAnsi="宋体"/>
                <w:color w:val="auto"/>
                <w:sz w:val="24"/>
                <w:szCs w:val="24"/>
                <w:lang w:val="en-US" w:eastAsia="zh-CN"/>
              </w:rPr>
              <w:t>主机与后处理间对接管道</w:t>
            </w:r>
            <w:r>
              <w:rPr>
                <w:rFonts w:hint="eastAsia" w:ascii="宋体" w:hAnsi="宋体"/>
                <w:color w:val="auto"/>
                <w:sz w:val="24"/>
                <w:szCs w:val="24"/>
              </w:rPr>
              <w:t>品牌</w:t>
            </w:r>
            <w:r>
              <w:rPr>
                <w:rFonts w:hint="eastAsia" w:ascii="宋体" w:hAnsi="宋体"/>
                <w:color w:val="auto"/>
                <w:sz w:val="24"/>
                <w:szCs w:val="24"/>
                <w:lang w:val="en-US" w:eastAsia="zh-CN"/>
              </w:rPr>
              <w:t>建议</w:t>
            </w:r>
            <w:r>
              <w:rPr>
                <w:rFonts w:hint="eastAsia" w:ascii="宋体" w:hAnsi="宋体"/>
                <w:color w:val="auto"/>
                <w:sz w:val="24"/>
                <w:szCs w:val="24"/>
              </w:rPr>
              <w:t>为</w:t>
            </w:r>
            <w:r>
              <w:rPr>
                <w:rFonts w:hint="eastAsia" w:ascii="宋体" w:hAnsi="宋体"/>
                <w:color w:val="auto"/>
                <w:sz w:val="24"/>
                <w:szCs w:val="24"/>
                <w:lang w:val="en-US" w:eastAsia="zh-CN"/>
              </w:rPr>
              <w:t>东正、远安</w:t>
            </w:r>
            <w:r>
              <w:rPr>
                <w:rFonts w:hint="eastAsia" w:ascii="宋体" w:hAnsi="宋体"/>
                <w:color w:val="auto"/>
                <w:sz w:val="24"/>
                <w:szCs w:val="24"/>
              </w:rPr>
              <w:t>。5年内不得有泄露，腐蚀，氧化。</w:t>
            </w:r>
            <w:r>
              <w:rPr>
                <w:rFonts w:hint="eastAsia" w:ascii="宋体" w:hAnsi="宋体"/>
                <w:color w:val="auto"/>
                <w:sz w:val="24"/>
                <w:szCs w:val="24"/>
                <w:lang w:val="en-US" w:eastAsia="zh-CN"/>
              </w:rPr>
              <w:t>不锈钢管道</w:t>
            </w:r>
            <w:r>
              <w:rPr>
                <w:rFonts w:hint="eastAsia" w:hAnsi="宋体"/>
                <w:color w:val="auto"/>
                <w:sz w:val="24"/>
                <w:szCs w:val="24"/>
                <w:lang w:val="en-US" w:eastAsia="zh-CN"/>
              </w:rPr>
              <w:t>内</w:t>
            </w:r>
            <w:r>
              <w:rPr>
                <w:rFonts w:hint="eastAsia" w:hAnsi="宋体"/>
                <w:color w:val="auto"/>
                <w:sz w:val="24"/>
                <w:szCs w:val="24"/>
              </w:rPr>
              <w:t>表面粗糙度要求：Ra＜0.</w:t>
            </w:r>
            <w:r>
              <w:rPr>
                <w:rFonts w:hAnsi="宋体"/>
                <w:color w:val="auto"/>
                <w:sz w:val="24"/>
                <w:szCs w:val="24"/>
              </w:rPr>
              <w:t>8</w:t>
            </w:r>
            <w:r>
              <w:rPr>
                <w:rFonts w:hint="eastAsia" w:hAnsi="宋体"/>
                <w:color w:val="auto"/>
                <w:sz w:val="24"/>
                <w:szCs w:val="24"/>
              </w:rPr>
              <w:t>μm。</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URS037</w:t>
            </w:r>
          </w:p>
        </w:tc>
        <w:tc>
          <w:tcPr>
            <w:tcW w:w="5805" w:type="dxa"/>
            <w:noWrap w:val="0"/>
            <w:vAlign w:val="center"/>
          </w:tcPr>
          <w:p>
            <w:pPr>
              <w:pStyle w:val="5"/>
              <w:rPr>
                <w:rFonts w:hint="eastAsia" w:ascii="Calibri" w:hAnsi="Calibri" w:eastAsia="宋体" w:cs="Arial"/>
                <w:color w:val="auto"/>
                <w:kern w:val="2"/>
                <w:sz w:val="24"/>
                <w:szCs w:val="24"/>
                <w:lang w:val="en-US" w:eastAsia="zh-CN" w:bidi="ar-SA"/>
              </w:rPr>
            </w:pPr>
            <w:r>
              <w:rPr>
                <w:rFonts w:hint="eastAsia" w:ascii="Calibri" w:hAnsi="Calibri" w:cs="Arial"/>
                <w:color w:val="auto"/>
                <w:sz w:val="24"/>
                <w:szCs w:val="24"/>
                <w:lang w:val="en-US" w:eastAsia="zh-CN"/>
              </w:rPr>
              <w:t>所有与物料接触的密封部分应优先采用聚四氟，其次使用硅橡胶。其它密封材质必需达到卫生级要求。</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URS038</w:t>
            </w:r>
          </w:p>
        </w:tc>
        <w:tc>
          <w:tcPr>
            <w:tcW w:w="5805" w:type="dxa"/>
            <w:noWrap w:val="0"/>
            <w:vAlign w:val="center"/>
          </w:tcPr>
          <w:p>
            <w:pPr>
              <w:pStyle w:val="5"/>
              <w:rPr>
                <w:rFonts w:hint="eastAsia" w:ascii="Calibri" w:hAnsi="Calibri" w:eastAsia="宋体" w:cs="Arial"/>
                <w:color w:val="auto"/>
                <w:kern w:val="2"/>
                <w:sz w:val="24"/>
                <w:szCs w:val="24"/>
                <w:lang w:val="de-DE" w:eastAsia="zh-CN" w:bidi="ar-SA"/>
              </w:rPr>
            </w:pPr>
            <w:r>
              <w:rPr>
                <w:rFonts w:hint="eastAsia" w:hAnsi="宋体"/>
                <w:color w:val="auto"/>
                <w:sz w:val="24"/>
                <w:szCs w:val="24"/>
              </w:rPr>
              <w:t>设备内外表面所有凹凸部件全部采用圆弧过渡（</w:t>
            </w:r>
            <w:r>
              <w:rPr>
                <w:rFonts w:hAnsi="宋体"/>
                <w:color w:val="auto"/>
                <w:sz w:val="24"/>
                <w:szCs w:val="24"/>
              </w:rPr>
              <w:t>R</w:t>
            </w:r>
            <w:r>
              <w:rPr>
                <w:rFonts w:hint="eastAsia" w:hAnsi="宋体"/>
                <w:color w:val="auto"/>
                <w:sz w:val="24"/>
                <w:szCs w:val="24"/>
              </w:rPr>
              <w:t>≥</w:t>
            </w:r>
            <w:r>
              <w:rPr>
                <w:rFonts w:hAnsi="宋体"/>
                <w:color w:val="auto"/>
                <w:sz w:val="24"/>
                <w:szCs w:val="24"/>
              </w:rPr>
              <w:t>10mm</w:t>
            </w:r>
            <w:r>
              <w:rPr>
                <w:rFonts w:hint="eastAsia" w:hAnsi="宋体"/>
                <w:color w:val="auto"/>
                <w:sz w:val="24"/>
                <w:szCs w:val="24"/>
              </w:rPr>
              <w:t>），或采用不低于</w:t>
            </w:r>
            <w:r>
              <w:rPr>
                <w:rFonts w:hAnsi="宋体"/>
                <w:color w:val="auto"/>
                <w:sz w:val="24"/>
                <w:szCs w:val="24"/>
              </w:rPr>
              <w:t>135</w:t>
            </w:r>
            <w:r>
              <w:rPr>
                <w:rFonts w:hint="eastAsia" w:hAnsi="宋体"/>
                <w:color w:val="auto"/>
                <w:sz w:val="24"/>
                <w:szCs w:val="24"/>
              </w:rPr>
              <w:t>度倒角过渡，紧固方式不采用外露螺钉，确保无死角易清洁。</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URS039</w:t>
            </w:r>
          </w:p>
        </w:tc>
        <w:tc>
          <w:tcPr>
            <w:tcW w:w="5805" w:type="dxa"/>
            <w:noWrap w:val="0"/>
            <w:vAlign w:val="center"/>
          </w:tcPr>
          <w:p>
            <w:pPr>
              <w:ind w:left="12" w:leftChars="0" w:hanging="12" w:firstLineChars="0"/>
              <w:rPr>
                <w:rFonts w:hint="eastAsia" w:ascii="Calibri" w:hAnsi="Calibri" w:eastAsia="宋体" w:cs="Arial"/>
                <w:color w:val="auto"/>
                <w:kern w:val="2"/>
                <w:sz w:val="24"/>
                <w:szCs w:val="24"/>
                <w:lang w:val="en-US" w:eastAsia="zh-CN" w:bidi="ar-SA"/>
              </w:rPr>
            </w:pPr>
            <w:r>
              <w:rPr>
                <w:rFonts w:hint="eastAsia" w:ascii="宋体" w:hAnsi="宋体"/>
                <w:color w:val="auto"/>
                <w:sz w:val="24"/>
                <w:szCs w:val="24"/>
              </w:rPr>
              <w:t>设备所有的铸造和加工件没有缺陷。</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URS040</w:t>
            </w:r>
          </w:p>
        </w:tc>
        <w:tc>
          <w:tcPr>
            <w:tcW w:w="5805" w:type="dxa"/>
            <w:noWrap w:val="0"/>
            <w:vAlign w:val="center"/>
          </w:tcPr>
          <w:p>
            <w:pPr>
              <w:ind w:left="12" w:leftChars="0" w:hanging="12" w:firstLineChars="0"/>
              <w:rPr>
                <w:rFonts w:hint="eastAsia" w:ascii="Calibri" w:hAnsi="Calibri" w:eastAsia="宋体" w:cs="Arial"/>
                <w:color w:val="auto"/>
                <w:kern w:val="2"/>
                <w:sz w:val="24"/>
                <w:szCs w:val="24"/>
                <w:lang w:val="en-US" w:eastAsia="zh-CN" w:bidi="ar-SA"/>
              </w:rPr>
            </w:pPr>
            <w:r>
              <w:rPr>
                <w:rFonts w:ascii="宋体" w:hAnsi="宋体"/>
                <w:color w:val="auto"/>
                <w:sz w:val="24"/>
                <w:szCs w:val="24"/>
              </w:rPr>
              <w:t>设备应贴有</w:t>
            </w:r>
            <w:r>
              <w:rPr>
                <w:rFonts w:hint="eastAsia" w:ascii="宋体" w:hAnsi="宋体"/>
                <w:color w:val="auto"/>
                <w:sz w:val="24"/>
                <w:szCs w:val="24"/>
              </w:rPr>
              <w:t>标准</w:t>
            </w:r>
            <w:r>
              <w:rPr>
                <w:rFonts w:ascii="宋体" w:hAnsi="宋体"/>
                <w:color w:val="auto"/>
                <w:sz w:val="24"/>
                <w:szCs w:val="24"/>
              </w:rPr>
              <w:t>设备铭牌</w:t>
            </w:r>
            <w:r>
              <w:rPr>
                <w:rFonts w:hint="eastAsia" w:ascii="宋体" w:hAnsi="宋体"/>
                <w:color w:val="auto"/>
                <w:sz w:val="24"/>
                <w:szCs w:val="24"/>
              </w:rPr>
              <w:t>，铭牌上应注明名称、产地、出厂日期、型号、重量及其它重要技术参数。</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URS041</w:t>
            </w:r>
          </w:p>
        </w:tc>
        <w:tc>
          <w:tcPr>
            <w:tcW w:w="5805" w:type="dxa"/>
            <w:noWrap w:val="0"/>
            <w:vAlign w:val="center"/>
          </w:tcPr>
          <w:p>
            <w:pPr>
              <w:rPr>
                <w:rFonts w:hint="eastAsia" w:ascii="Calibri" w:hAnsi="Calibri" w:eastAsia="宋体" w:cs="Arial"/>
                <w:color w:val="auto"/>
                <w:kern w:val="2"/>
                <w:sz w:val="24"/>
                <w:szCs w:val="24"/>
                <w:lang w:val="en-US" w:eastAsia="zh-CN" w:bidi="ar-SA"/>
              </w:rPr>
            </w:pPr>
            <w:r>
              <w:rPr>
                <w:rFonts w:hint="eastAsia" w:ascii="Calibri" w:hAnsi="Calibri" w:cs="Arial"/>
                <w:color w:val="auto"/>
                <w:sz w:val="24"/>
                <w:szCs w:val="24"/>
              </w:rPr>
              <w:t>管道满足ISO</w:t>
            </w:r>
            <w:r>
              <w:rPr>
                <w:rFonts w:ascii="Calibri" w:hAnsi="Calibri" w:cs="Arial"/>
                <w:color w:val="auto"/>
                <w:sz w:val="24"/>
                <w:szCs w:val="24"/>
              </w:rPr>
              <w:t>2037</w:t>
            </w:r>
            <w:r>
              <w:rPr>
                <w:rFonts w:hint="eastAsia" w:ascii="Calibri" w:hAnsi="Calibri" w:cs="Arial"/>
                <w:color w:val="auto"/>
                <w:sz w:val="24"/>
                <w:szCs w:val="24"/>
              </w:rPr>
              <w:t>要求</w:t>
            </w:r>
            <w:r>
              <w:rPr>
                <w:rFonts w:hint="eastAsia" w:ascii="Calibri" w:hAnsi="Calibri" w:cs="Arial"/>
                <w:color w:val="auto"/>
                <w:sz w:val="24"/>
                <w:szCs w:val="24"/>
                <w:lang w:eastAsia="zh-CN"/>
              </w:rPr>
              <w:t>。</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bl>
    <w:p>
      <w:pPr>
        <w:spacing w:line="480" w:lineRule="auto"/>
        <w:rPr>
          <w:rFonts w:hint="default" w:eastAsia="宋体"/>
          <w:color w:val="auto"/>
          <w:sz w:val="24"/>
          <w:szCs w:val="24"/>
          <w:lang w:val="en-US" w:eastAsia="zh-CN"/>
        </w:rPr>
      </w:pPr>
      <w:r>
        <w:rPr>
          <w:rFonts w:hint="eastAsia"/>
          <w:color w:val="auto"/>
          <w:sz w:val="24"/>
          <w:szCs w:val="24"/>
          <w:lang w:val="en-US" w:eastAsia="zh-CN"/>
        </w:rPr>
        <w:t>4.8仪表</w:t>
      </w:r>
    </w:p>
    <w:tbl>
      <w:tblPr>
        <w:tblStyle w:val="11"/>
        <w:tblW w:w="9296"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5" w:hRule="atLeast"/>
          <w:tblHeader/>
        </w:trPr>
        <w:tc>
          <w:tcPr>
            <w:tcW w:w="179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center"/>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URS042</w:t>
            </w:r>
          </w:p>
        </w:tc>
        <w:tc>
          <w:tcPr>
            <w:tcW w:w="5805" w:type="dxa"/>
            <w:noWrap w:val="0"/>
            <w:vAlign w:val="center"/>
          </w:tcPr>
          <w:p>
            <w:pPr>
              <w:rPr>
                <w:rFonts w:hint="default" w:eastAsia="宋体"/>
                <w:color w:val="auto"/>
                <w:sz w:val="24"/>
                <w:szCs w:val="24"/>
                <w:lang w:val="en-US" w:eastAsia="zh-CN"/>
              </w:rPr>
            </w:pPr>
            <w:r>
              <w:rPr>
                <w:rFonts w:hint="eastAsia" w:ascii="Times New Roman" w:hAnsi="Times New Roman"/>
                <w:bCs/>
                <w:color w:val="auto"/>
                <w:sz w:val="24"/>
                <w:szCs w:val="24"/>
              </w:rPr>
              <w:t>所有仪表应提供</w:t>
            </w:r>
            <w:r>
              <w:rPr>
                <w:rFonts w:hint="eastAsia" w:ascii="Times New Roman" w:hAnsi="Times New Roman"/>
                <w:bCs/>
                <w:color w:val="auto"/>
                <w:sz w:val="24"/>
                <w:szCs w:val="24"/>
                <w:lang w:val="en-US" w:eastAsia="zh-CN"/>
              </w:rPr>
              <w:t>合格证或报告。</w:t>
            </w:r>
          </w:p>
          <w:p>
            <w:pPr>
              <w:pStyle w:val="21"/>
              <w:spacing w:before="0"/>
              <w:rPr>
                <w:rFonts w:hint="eastAsia" w:ascii="宋体" w:hAnsi="宋体"/>
                <w:color w:val="auto"/>
                <w:sz w:val="24"/>
                <w:szCs w:val="24"/>
                <w:lang w:eastAsia="zh-CN"/>
              </w:rPr>
            </w:pP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bl>
    <w:p>
      <w:pPr>
        <w:spacing w:line="480" w:lineRule="auto"/>
        <w:rPr>
          <w:rFonts w:hint="default" w:eastAsia="宋体"/>
          <w:color w:val="auto"/>
          <w:sz w:val="24"/>
          <w:szCs w:val="24"/>
          <w:lang w:val="en-US" w:eastAsia="zh-CN"/>
        </w:rPr>
      </w:pPr>
      <w:r>
        <w:rPr>
          <w:rFonts w:hint="eastAsia"/>
          <w:color w:val="auto"/>
          <w:sz w:val="24"/>
          <w:szCs w:val="24"/>
          <w:lang w:val="en-US" w:eastAsia="zh-CN"/>
        </w:rPr>
        <w:t>4.9润滑要求</w:t>
      </w:r>
    </w:p>
    <w:tbl>
      <w:tblPr>
        <w:tblStyle w:val="11"/>
        <w:tblW w:w="9296"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5" w:hRule="atLeast"/>
          <w:tblHeader/>
        </w:trPr>
        <w:tc>
          <w:tcPr>
            <w:tcW w:w="179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top"/>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1795" w:type="dxa"/>
            <w:tcBorders>
              <w:top w:val="double" w:color="auto" w:sz="4" w:space="0"/>
            </w:tcBorders>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URS043</w:t>
            </w:r>
          </w:p>
        </w:tc>
        <w:tc>
          <w:tcPr>
            <w:tcW w:w="5805" w:type="dxa"/>
            <w:tcBorders>
              <w:top w:val="double" w:color="auto" w:sz="4" w:space="0"/>
            </w:tcBorders>
            <w:noWrap w:val="0"/>
            <w:vAlign w:val="center"/>
          </w:tcPr>
          <w:p>
            <w:pPr>
              <w:spacing w:line="360" w:lineRule="auto"/>
              <w:jc w:val="left"/>
              <w:rPr>
                <w:rFonts w:hint="eastAsia" w:ascii="Arial" w:eastAsia="宋体"/>
                <w:color w:val="auto"/>
                <w:kern w:val="2"/>
                <w:sz w:val="24"/>
                <w:szCs w:val="24"/>
                <w:lang w:val="en-US" w:eastAsia="zh-CN" w:bidi="ar-SA"/>
              </w:rPr>
            </w:pPr>
            <w:r>
              <w:rPr>
                <w:rStyle w:val="19"/>
                <w:rFonts w:hint="eastAsia" w:ascii="Arial"/>
                <w:color w:val="auto"/>
                <w:sz w:val="24"/>
                <w:szCs w:val="24"/>
                <w:lang w:val="en-US" w:eastAsia="zh-CN"/>
              </w:rPr>
              <w:t>如需要日常加注润滑油，</w:t>
            </w:r>
            <w:r>
              <w:rPr>
                <w:rStyle w:val="19"/>
                <w:rFonts w:hint="eastAsia" w:ascii="Arial"/>
                <w:color w:val="auto"/>
                <w:sz w:val="24"/>
                <w:szCs w:val="24"/>
              </w:rPr>
              <w:t>供方需提供设备所需接收润滑点</w:t>
            </w:r>
            <w:r>
              <w:rPr>
                <w:rStyle w:val="19"/>
                <w:rFonts w:hint="eastAsia" w:ascii="Arial"/>
                <w:color w:val="auto"/>
                <w:sz w:val="24"/>
                <w:szCs w:val="24"/>
                <w:lang w:val="en-US" w:eastAsia="zh-CN"/>
              </w:rPr>
              <w:t>标识图及加注周期</w:t>
            </w:r>
            <w:r>
              <w:rPr>
                <w:rStyle w:val="19"/>
                <w:rFonts w:hint="eastAsia" w:ascii="Arial"/>
                <w:color w:val="auto"/>
                <w:sz w:val="24"/>
                <w:szCs w:val="24"/>
              </w:rPr>
              <w:t>。</w:t>
            </w:r>
          </w:p>
        </w:tc>
        <w:tc>
          <w:tcPr>
            <w:tcW w:w="1696" w:type="dxa"/>
            <w:tcBorders>
              <w:top w:val="double" w:color="auto" w:sz="4" w:space="0"/>
            </w:tcBorders>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URS044</w:t>
            </w:r>
          </w:p>
        </w:tc>
        <w:tc>
          <w:tcPr>
            <w:tcW w:w="5805" w:type="dxa"/>
            <w:noWrap w:val="0"/>
            <w:vAlign w:val="center"/>
          </w:tcPr>
          <w:p>
            <w:pPr>
              <w:spacing w:line="360" w:lineRule="auto"/>
              <w:jc w:val="left"/>
              <w:rPr>
                <w:rFonts w:hint="eastAsia" w:ascii="Arial" w:eastAsia="宋体"/>
                <w:color w:val="auto"/>
                <w:kern w:val="2"/>
                <w:sz w:val="24"/>
                <w:szCs w:val="24"/>
                <w:lang w:val="en-US" w:eastAsia="zh-CN" w:bidi="ar-SA"/>
              </w:rPr>
            </w:pPr>
            <w:r>
              <w:rPr>
                <w:rStyle w:val="19"/>
                <w:rFonts w:hint="eastAsia" w:ascii="Arial"/>
                <w:color w:val="auto"/>
                <w:sz w:val="24"/>
                <w:szCs w:val="24"/>
              </w:rPr>
              <w:t>设备内的润滑油依供方设计要求，但应确保不能泄露。供方提供首次加入润滑油，加入量满足设备要求。</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URS045</w:t>
            </w:r>
          </w:p>
        </w:tc>
        <w:tc>
          <w:tcPr>
            <w:tcW w:w="5805" w:type="dxa"/>
            <w:noWrap w:val="0"/>
            <w:vAlign w:val="center"/>
          </w:tcPr>
          <w:p>
            <w:pPr>
              <w:spacing w:line="360" w:lineRule="auto"/>
              <w:jc w:val="left"/>
              <w:rPr>
                <w:rFonts w:hint="eastAsia" w:ascii="Arial" w:eastAsia="宋体"/>
                <w:color w:val="auto"/>
                <w:kern w:val="2"/>
                <w:sz w:val="24"/>
                <w:szCs w:val="24"/>
                <w:lang w:val="en-US" w:eastAsia="zh-CN" w:bidi="ar-SA"/>
              </w:rPr>
            </w:pPr>
            <w:r>
              <w:rPr>
                <w:rStyle w:val="19"/>
                <w:rFonts w:hint="eastAsia" w:ascii="Arial"/>
                <w:color w:val="auto"/>
                <w:sz w:val="24"/>
                <w:szCs w:val="24"/>
              </w:rPr>
              <w:t>设备上</w:t>
            </w:r>
            <w:r>
              <w:rPr>
                <w:rStyle w:val="19"/>
                <w:rFonts w:hint="eastAsia" w:ascii="Arial"/>
                <w:color w:val="auto"/>
                <w:sz w:val="24"/>
                <w:szCs w:val="24"/>
                <w:lang w:val="en-US" w:eastAsia="zh-CN"/>
              </w:rPr>
              <w:t>或者文件中</w:t>
            </w:r>
            <w:r>
              <w:rPr>
                <w:rStyle w:val="19"/>
                <w:rFonts w:hint="eastAsia" w:ascii="Arial"/>
                <w:color w:val="auto"/>
                <w:sz w:val="24"/>
                <w:szCs w:val="24"/>
              </w:rPr>
              <w:t>有润滑图和润滑表，并注明各润滑点的所有润滑油牌号、建议润滑周期等。</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URS046</w:t>
            </w:r>
          </w:p>
        </w:tc>
        <w:tc>
          <w:tcPr>
            <w:tcW w:w="5805" w:type="dxa"/>
            <w:noWrap w:val="0"/>
            <w:vAlign w:val="center"/>
          </w:tcPr>
          <w:p>
            <w:pPr>
              <w:spacing w:line="360" w:lineRule="auto"/>
              <w:jc w:val="left"/>
              <w:rPr>
                <w:rFonts w:hint="eastAsia" w:ascii="Arial" w:eastAsia="宋体"/>
                <w:color w:val="auto"/>
                <w:kern w:val="2"/>
                <w:sz w:val="24"/>
                <w:szCs w:val="24"/>
                <w:lang w:val="en-US" w:eastAsia="zh-CN" w:bidi="ar-SA"/>
              </w:rPr>
            </w:pPr>
            <w:r>
              <w:rPr>
                <w:rStyle w:val="19"/>
                <w:rFonts w:hint="eastAsia" w:ascii="Arial"/>
                <w:color w:val="auto"/>
                <w:sz w:val="24"/>
                <w:szCs w:val="24"/>
              </w:rPr>
              <w:t>设备上用的任何润滑油、润滑剂应该是无毒的、润滑油不能和药物及清洁用水相接触。</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URS047</w:t>
            </w:r>
          </w:p>
        </w:tc>
        <w:tc>
          <w:tcPr>
            <w:tcW w:w="5805" w:type="dxa"/>
            <w:noWrap w:val="0"/>
            <w:vAlign w:val="center"/>
          </w:tcPr>
          <w:p>
            <w:pPr>
              <w:spacing w:line="360" w:lineRule="auto"/>
              <w:jc w:val="left"/>
              <w:rPr>
                <w:rFonts w:hint="eastAsia" w:ascii="Arial" w:eastAsia="宋体"/>
                <w:color w:val="auto"/>
                <w:kern w:val="2"/>
                <w:sz w:val="24"/>
                <w:szCs w:val="24"/>
                <w:lang w:val="en-US" w:eastAsia="zh-CN" w:bidi="ar-SA"/>
              </w:rPr>
            </w:pPr>
            <w:r>
              <w:rPr>
                <w:rStyle w:val="19"/>
                <w:rFonts w:hint="eastAsia" w:ascii="Arial"/>
                <w:color w:val="auto"/>
                <w:sz w:val="24"/>
                <w:szCs w:val="24"/>
              </w:rPr>
              <w:t>使用的润滑油不能和产品或可能和产品接触的设备表面接触。</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URS048</w:t>
            </w:r>
          </w:p>
        </w:tc>
        <w:tc>
          <w:tcPr>
            <w:tcW w:w="5805" w:type="dxa"/>
            <w:noWrap w:val="0"/>
            <w:vAlign w:val="center"/>
          </w:tcPr>
          <w:p>
            <w:pPr>
              <w:spacing w:line="360" w:lineRule="auto"/>
              <w:jc w:val="left"/>
              <w:rPr>
                <w:rFonts w:hint="eastAsia" w:ascii="Arial" w:eastAsia="宋体"/>
                <w:color w:val="auto"/>
                <w:kern w:val="2"/>
                <w:sz w:val="24"/>
                <w:szCs w:val="24"/>
                <w:lang w:val="en-US" w:eastAsia="zh-CN" w:bidi="ar-SA"/>
              </w:rPr>
            </w:pPr>
            <w:r>
              <w:rPr>
                <w:rStyle w:val="19"/>
                <w:rFonts w:hint="eastAsia" w:ascii="Arial"/>
                <w:color w:val="auto"/>
                <w:sz w:val="24"/>
                <w:szCs w:val="24"/>
              </w:rPr>
              <w:t>提供润滑表，所有的滑动部件和轴承都要周期性提供润滑剂，润滑剂的润滑方式要符合GMP要求，不得对环境造成污染。</w:t>
            </w:r>
          </w:p>
        </w:tc>
        <w:tc>
          <w:tcPr>
            <w:tcW w:w="1696" w:type="dxa"/>
            <w:noWrap w:val="0"/>
            <w:vAlign w:val="center"/>
          </w:tcPr>
          <w:p>
            <w:pPr>
              <w:spacing w:line="360" w:lineRule="auto"/>
              <w:ind w:left="1" w:right="71" w:rightChars="34"/>
              <w:jc w:val="center"/>
              <w:rPr>
                <w:rFonts w:hint="default"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spacing w:line="480" w:lineRule="auto"/>
        <w:ind w:leftChars="0" w:right="0" w:rightChars="0"/>
        <w:jc w:val="left"/>
        <w:textAlignment w:val="top"/>
        <w:outlineLvl w:val="0"/>
        <w:rPr>
          <w:rFonts w:hint="default"/>
          <w:b/>
          <w:color w:val="auto"/>
          <w:kern w:val="0"/>
          <w:sz w:val="24"/>
          <w:szCs w:val="24"/>
          <w:lang w:val="en-US" w:eastAsia="zh-CN"/>
        </w:rPr>
      </w:pPr>
      <w:bookmarkStart w:id="11" w:name="_Toc13225"/>
      <w:r>
        <w:rPr>
          <w:rFonts w:hint="eastAsia"/>
          <w:b/>
          <w:color w:val="auto"/>
          <w:kern w:val="0"/>
          <w:sz w:val="24"/>
          <w:szCs w:val="24"/>
          <w:lang w:val="en-US" w:eastAsia="zh-CN"/>
        </w:rPr>
        <w:t>4.10EHS要求</w:t>
      </w:r>
      <w:bookmarkEnd w:id="11"/>
    </w:p>
    <w:tbl>
      <w:tblPr>
        <w:tblStyle w:val="11"/>
        <w:tblW w:w="9296"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5" w:hRule="atLeast"/>
          <w:tblHeader/>
        </w:trPr>
        <w:tc>
          <w:tcPr>
            <w:tcW w:w="179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top"/>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1795" w:type="dxa"/>
            <w:tcBorders>
              <w:top w:val="double" w:color="auto" w:sz="4" w:space="0"/>
            </w:tcBorders>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URS049</w:t>
            </w:r>
          </w:p>
        </w:tc>
        <w:tc>
          <w:tcPr>
            <w:tcW w:w="5805" w:type="dxa"/>
            <w:tcBorders>
              <w:top w:val="double" w:color="auto" w:sz="4" w:space="0"/>
            </w:tcBorders>
            <w:noWrap w:val="0"/>
            <w:vAlign w:val="center"/>
          </w:tcPr>
          <w:p>
            <w:pPr>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设备负载运行状态下，距离设备1米内其噪音不超过</w:t>
            </w:r>
            <w:r>
              <w:rPr>
                <w:rFonts w:hint="eastAsia" w:asciiTheme="minorEastAsia" w:hAnsiTheme="minorEastAsia" w:eastAsiaTheme="minorEastAsia" w:cstheme="minorEastAsia"/>
                <w:color w:val="auto"/>
                <w:sz w:val="24"/>
                <w:szCs w:val="24"/>
                <w:lang w:val="en-US" w:eastAsia="zh-CN"/>
              </w:rPr>
              <w:t>8</w:t>
            </w:r>
            <w:r>
              <w:rPr>
                <w:rFonts w:hint="eastAsia" w:asciiTheme="minorEastAsia" w:hAnsiTheme="minorEastAsia" w:eastAsiaTheme="minorEastAsia" w:cstheme="minorEastAsia"/>
                <w:color w:val="auto"/>
                <w:sz w:val="24"/>
                <w:szCs w:val="24"/>
              </w:rPr>
              <w:t>0分贝。</w:t>
            </w:r>
          </w:p>
        </w:tc>
        <w:tc>
          <w:tcPr>
            <w:tcW w:w="1696" w:type="dxa"/>
            <w:tcBorders>
              <w:top w:val="double" w:color="auto" w:sz="4" w:space="0"/>
            </w:tcBorders>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URS050</w:t>
            </w:r>
          </w:p>
        </w:tc>
        <w:tc>
          <w:tcPr>
            <w:tcW w:w="5805" w:type="dxa"/>
            <w:noWrap w:val="0"/>
            <w:vAlign w:val="center"/>
          </w:tcPr>
          <w:p>
            <w:pPr>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与操作工接触的保温层外表面，保证其在循环过程中的温度为≤40℃。</w:t>
            </w:r>
          </w:p>
        </w:tc>
        <w:tc>
          <w:tcPr>
            <w:tcW w:w="1696" w:type="dxa"/>
            <w:noWrap w:val="0"/>
            <w:vAlign w:val="center"/>
          </w:tcPr>
          <w:p>
            <w:pPr>
              <w:spacing w:line="360" w:lineRule="auto"/>
              <w:ind w:left="1" w:right="71" w:rightChars="34"/>
              <w:jc w:val="center"/>
              <w:rPr>
                <w:rFonts w:hint="default"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URS051</w:t>
            </w:r>
          </w:p>
        </w:tc>
        <w:tc>
          <w:tcPr>
            <w:tcW w:w="5805" w:type="dxa"/>
            <w:noWrap w:val="0"/>
            <w:vAlign w:val="center"/>
          </w:tcPr>
          <w:p>
            <w:pPr>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所有热表面、噪音都要有安全警告标识。</w:t>
            </w:r>
          </w:p>
        </w:tc>
        <w:tc>
          <w:tcPr>
            <w:tcW w:w="1696" w:type="dxa"/>
            <w:noWrap w:val="0"/>
            <w:vAlign w:val="center"/>
          </w:tcPr>
          <w:p>
            <w:pPr>
              <w:spacing w:line="360" w:lineRule="auto"/>
              <w:ind w:left="1" w:right="71" w:rightChars="34"/>
              <w:jc w:val="center"/>
              <w:rPr>
                <w:rFonts w:hint="default" w:ascii="宋体" w:hAnsi="宋体" w:eastAsia="宋体" w:cs="Arial"/>
                <w:color w:val="auto"/>
                <w:sz w:val="24"/>
                <w:szCs w:val="24"/>
                <w:lang w:val="en-US" w:eastAsia="zh-CN"/>
              </w:rPr>
            </w:pPr>
            <w:r>
              <w:rPr>
                <w:rFonts w:hint="eastAsia" w:ascii="宋体" w:hAnsi="宋体" w:cs="Arial"/>
                <w:color w:val="auto"/>
                <w:sz w:val="24"/>
                <w:szCs w:val="24"/>
                <w:lang w:val="en-US" w:eastAsia="zh-CN"/>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URS052</w:t>
            </w:r>
          </w:p>
        </w:tc>
        <w:tc>
          <w:tcPr>
            <w:tcW w:w="5805" w:type="dxa"/>
            <w:noWrap w:val="0"/>
            <w:vAlign w:val="center"/>
          </w:tcPr>
          <w:p>
            <w:pPr>
              <w:spacing w:line="360" w:lineRule="exact"/>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设备部位任何不能有锋利的边缘和尖角，以防伤害操作者。</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URS053</w:t>
            </w:r>
          </w:p>
        </w:tc>
        <w:tc>
          <w:tcPr>
            <w:tcW w:w="5805" w:type="dxa"/>
            <w:noWrap w:val="0"/>
            <w:vAlign w:val="center"/>
          </w:tcPr>
          <w:p>
            <w:pPr>
              <w:spacing w:line="360" w:lineRule="exact"/>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设备应有过载保护、漏电保护</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接地保护</w:t>
            </w:r>
            <w:r>
              <w:rPr>
                <w:rFonts w:hint="eastAsia" w:asciiTheme="minorEastAsia" w:hAnsiTheme="minorEastAsia" w:eastAsiaTheme="minorEastAsia" w:cstheme="minorEastAsia"/>
                <w:color w:val="auto"/>
                <w:sz w:val="24"/>
                <w:szCs w:val="24"/>
              </w:rPr>
              <w:t>装置，当设备功能失调或者故障的情况下，</w:t>
            </w:r>
            <w:r>
              <w:rPr>
                <w:rFonts w:hint="eastAsia" w:asciiTheme="minorEastAsia" w:hAnsiTheme="minorEastAsia" w:eastAsiaTheme="minorEastAsia" w:cstheme="minorEastAsia"/>
                <w:color w:val="auto"/>
                <w:sz w:val="24"/>
                <w:szCs w:val="24"/>
                <w:lang w:eastAsia="zh-CN"/>
              </w:rPr>
              <w:t>必需</w:t>
            </w:r>
            <w:r>
              <w:rPr>
                <w:rFonts w:hint="eastAsia" w:asciiTheme="minorEastAsia" w:hAnsiTheme="minorEastAsia" w:eastAsiaTheme="minorEastAsia" w:cstheme="minorEastAsia"/>
                <w:color w:val="auto"/>
                <w:sz w:val="24"/>
                <w:szCs w:val="24"/>
              </w:rPr>
              <w:t>配备必要的保护措施保证设备和产品仍然处于安全状态。</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URS054</w:t>
            </w:r>
          </w:p>
        </w:tc>
        <w:tc>
          <w:tcPr>
            <w:tcW w:w="5805" w:type="dxa"/>
            <w:noWrap w:val="0"/>
            <w:vAlign w:val="center"/>
          </w:tcPr>
          <w:p>
            <w:pPr>
              <w:spacing w:line="360" w:lineRule="exact"/>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空压机主要受压元件的设计与制造应符合GB 150和《压力容器安全技术监察规程》中的有关规定要求。</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URS055</w:t>
            </w:r>
          </w:p>
        </w:tc>
        <w:tc>
          <w:tcPr>
            <w:tcW w:w="5805" w:type="dxa"/>
            <w:noWrap w:val="0"/>
            <w:vAlign w:val="center"/>
          </w:tcPr>
          <w:p>
            <w:pPr>
              <w:spacing w:line="360" w:lineRule="exact"/>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空压机的安全阀、压力表应符合《压力容器安全技术监察规程》的有关规定。</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URS056</w:t>
            </w:r>
          </w:p>
        </w:tc>
        <w:tc>
          <w:tcPr>
            <w:tcW w:w="5805" w:type="dxa"/>
            <w:noWrap w:val="0"/>
            <w:vAlign w:val="center"/>
          </w:tcPr>
          <w:p>
            <w:pPr>
              <w:spacing w:line="360" w:lineRule="exact"/>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设备危险旋转零部件应装有防护罩。</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URS057</w:t>
            </w:r>
          </w:p>
        </w:tc>
        <w:tc>
          <w:tcPr>
            <w:tcW w:w="5805" w:type="dxa"/>
            <w:noWrap w:val="0"/>
            <w:vAlign w:val="center"/>
          </w:tcPr>
          <w:p>
            <w:pPr>
              <w:spacing w:line="360" w:lineRule="exact"/>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有接地装置，电气系统的安全性能应符合相应的国家标准。</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URS058</w:t>
            </w:r>
          </w:p>
        </w:tc>
        <w:tc>
          <w:tcPr>
            <w:tcW w:w="5805" w:type="dxa"/>
            <w:noWrap w:val="0"/>
            <w:vAlign w:val="center"/>
          </w:tcPr>
          <w:p>
            <w:pPr>
              <w:spacing w:line="360" w:lineRule="exact"/>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断电恢复供电后，机器不能自动开机，</w:t>
            </w:r>
            <w:r>
              <w:rPr>
                <w:rFonts w:hint="eastAsia" w:asciiTheme="minorEastAsia" w:hAnsiTheme="minorEastAsia" w:eastAsiaTheme="minorEastAsia" w:cstheme="minorEastAsia"/>
                <w:color w:val="auto"/>
                <w:sz w:val="24"/>
                <w:szCs w:val="24"/>
                <w:lang w:eastAsia="zh-CN"/>
              </w:rPr>
              <w:t>必需</w:t>
            </w:r>
            <w:r>
              <w:rPr>
                <w:rFonts w:hint="eastAsia" w:asciiTheme="minorEastAsia" w:hAnsiTheme="minorEastAsia" w:eastAsiaTheme="minorEastAsia" w:cstheme="minorEastAsia"/>
                <w:color w:val="auto"/>
                <w:sz w:val="24"/>
                <w:szCs w:val="24"/>
              </w:rPr>
              <w:t>人工启动，以保护人员、设备和产品。</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URS059</w:t>
            </w:r>
          </w:p>
        </w:tc>
        <w:tc>
          <w:tcPr>
            <w:tcW w:w="5805" w:type="dxa"/>
            <w:noWrap w:val="0"/>
            <w:vAlign w:val="center"/>
          </w:tcPr>
          <w:p>
            <w:pPr>
              <w:spacing w:line="360" w:lineRule="exact"/>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设备应在易于操作的位置设置急停开关；设备处于运行状态时，按下急停开关，设备立即停止运转；急停开关复位后，仅在进行复位和启动操作后，设备方可进入运行状态。</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URS060</w:t>
            </w:r>
          </w:p>
        </w:tc>
        <w:tc>
          <w:tcPr>
            <w:tcW w:w="5805" w:type="dxa"/>
            <w:noWrap w:val="0"/>
            <w:vAlign w:val="center"/>
          </w:tcPr>
          <w:p>
            <w:pPr>
              <w:spacing w:line="360" w:lineRule="exact"/>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设备安全设计</w:t>
            </w:r>
            <w:r>
              <w:rPr>
                <w:rFonts w:hint="eastAsia" w:asciiTheme="minorEastAsia" w:hAnsiTheme="minorEastAsia" w:eastAsiaTheme="minorEastAsia" w:cstheme="minorEastAsia"/>
                <w:color w:val="auto"/>
                <w:sz w:val="24"/>
                <w:szCs w:val="24"/>
                <w:lang w:val="en-US" w:eastAsia="zh-CN"/>
              </w:rPr>
              <w:t>符合相关</w:t>
            </w:r>
            <w:r>
              <w:rPr>
                <w:rFonts w:hint="eastAsia" w:asciiTheme="minorEastAsia" w:hAnsiTheme="minorEastAsia" w:eastAsiaTheme="minorEastAsia" w:cstheme="minorEastAsia"/>
                <w:color w:val="auto"/>
                <w:sz w:val="24"/>
                <w:szCs w:val="24"/>
              </w:rPr>
              <w:t>标准。</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URS061</w:t>
            </w:r>
          </w:p>
        </w:tc>
        <w:tc>
          <w:tcPr>
            <w:tcW w:w="5805" w:type="dxa"/>
            <w:noWrap w:val="0"/>
            <w:vAlign w:val="center"/>
          </w:tcPr>
          <w:p>
            <w:pPr>
              <w:spacing w:line="360" w:lineRule="exact"/>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配合压力容器报验，提供所有压力容器设计、制造</w:t>
            </w:r>
            <w:r>
              <w:rPr>
                <w:rFonts w:hint="eastAsia" w:asciiTheme="minorEastAsia" w:hAnsiTheme="minorEastAsia" w:eastAsiaTheme="minorEastAsia" w:cstheme="minorEastAsia"/>
                <w:color w:val="auto"/>
                <w:sz w:val="24"/>
                <w:szCs w:val="24"/>
                <w:lang w:val="en-US" w:eastAsia="zh-CN"/>
              </w:rPr>
              <w:t>等</w:t>
            </w:r>
            <w:r>
              <w:rPr>
                <w:rFonts w:hint="eastAsia" w:asciiTheme="minorEastAsia" w:hAnsiTheme="minorEastAsia" w:eastAsiaTheme="minorEastAsia" w:cstheme="minorEastAsia"/>
                <w:color w:val="auto"/>
                <w:sz w:val="24"/>
                <w:szCs w:val="24"/>
              </w:rPr>
              <w:t>文件。</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URS062</w:t>
            </w:r>
          </w:p>
        </w:tc>
        <w:tc>
          <w:tcPr>
            <w:tcW w:w="5805" w:type="dxa"/>
            <w:noWrap w:val="0"/>
            <w:vAlign w:val="center"/>
          </w:tcPr>
          <w:p>
            <w:pPr>
              <w:spacing w:line="360" w:lineRule="exact"/>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电气柜220V</w:t>
            </w:r>
            <w:r>
              <w:rPr>
                <w:rFonts w:hint="eastAsia" w:asciiTheme="minorEastAsia" w:hAnsiTheme="minorEastAsia" w:eastAsiaTheme="minorEastAsia" w:cstheme="minorEastAsia"/>
                <w:color w:val="auto"/>
                <w:sz w:val="24"/>
                <w:szCs w:val="24"/>
                <w:lang w:val="en-US" w:eastAsia="zh-CN"/>
              </w:rPr>
              <w:t>及</w:t>
            </w:r>
            <w:r>
              <w:rPr>
                <w:rFonts w:hint="eastAsia" w:asciiTheme="minorEastAsia" w:hAnsiTheme="minorEastAsia" w:eastAsiaTheme="minorEastAsia" w:cstheme="minorEastAsia"/>
                <w:color w:val="auto"/>
                <w:sz w:val="24"/>
                <w:szCs w:val="24"/>
              </w:rPr>
              <w:t>以上电压，不允许有裸露的母排、接线端。</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URS063</w:t>
            </w:r>
          </w:p>
        </w:tc>
        <w:tc>
          <w:tcPr>
            <w:tcW w:w="5805" w:type="dxa"/>
            <w:noWrap w:val="0"/>
            <w:vAlign w:val="center"/>
          </w:tcPr>
          <w:p>
            <w:pPr>
              <w:spacing w:line="360" w:lineRule="exact"/>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需符合</w:t>
            </w:r>
            <w:r>
              <w:rPr>
                <w:rFonts w:hint="eastAsia" w:asciiTheme="minorEastAsia" w:hAnsiTheme="minorEastAsia" w:eastAsiaTheme="minorEastAsia" w:cstheme="minorEastAsia"/>
                <w:color w:val="auto"/>
                <w:sz w:val="24"/>
                <w:szCs w:val="24"/>
                <w:lang w:val="en-US" w:eastAsia="zh-CN"/>
              </w:rPr>
              <w:t>国际</w:t>
            </w:r>
            <w:r>
              <w:rPr>
                <w:rFonts w:hint="eastAsia" w:asciiTheme="minorEastAsia" w:hAnsiTheme="minorEastAsia" w:eastAsiaTheme="minorEastAsia" w:cstheme="minorEastAsia"/>
                <w:color w:val="auto"/>
                <w:sz w:val="24"/>
                <w:szCs w:val="24"/>
              </w:rPr>
              <w:t>和中国相关法律法规要求。</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spacing w:line="480" w:lineRule="auto"/>
        <w:ind w:leftChars="0" w:right="0" w:rightChars="0"/>
        <w:jc w:val="left"/>
        <w:textAlignment w:val="top"/>
        <w:outlineLvl w:val="0"/>
        <w:rPr>
          <w:rFonts w:hint="default"/>
          <w:b/>
          <w:color w:val="auto"/>
          <w:kern w:val="0"/>
          <w:sz w:val="24"/>
          <w:szCs w:val="24"/>
          <w:lang w:val="en-US" w:eastAsia="zh-CN"/>
        </w:rPr>
      </w:pPr>
      <w:bookmarkStart w:id="12" w:name="_Toc17289"/>
      <w:r>
        <w:rPr>
          <w:rFonts w:hint="eastAsia"/>
          <w:b/>
          <w:color w:val="auto"/>
          <w:kern w:val="0"/>
          <w:sz w:val="24"/>
          <w:szCs w:val="24"/>
          <w:lang w:val="en-US" w:eastAsia="zh-CN"/>
        </w:rPr>
        <w:t>4.11验证要求</w:t>
      </w:r>
      <w:bookmarkEnd w:id="12"/>
    </w:p>
    <w:tbl>
      <w:tblPr>
        <w:tblStyle w:val="11"/>
        <w:tblW w:w="9296"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5" w:hRule="atLeast"/>
          <w:tblHeader/>
        </w:trPr>
        <w:tc>
          <w:tcPr>
            <w:tcW w:w="179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top"/>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1795" w:type="dxa"/>
            <w:tcBorders>
              <w:top w:val="double" w:color="auto" w:sz="4" w:space="0"/>
            </w:tcBorders>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URS064</w:t>
            </w:r>
          </w:p>
        </w:tc>
        <w:tc>
          <w:tcPr>
            <w:tcW w:w="5805" w:type="dxa"/>
            <w:tcBorders>
              <w:top w:val="double" w:color="auto" w:sz="4" w:space="0"/>
            </w:tcBorders>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验证服务要求供应商需</w:t>
            </w:r>
            <w:r>
              <w:rPr>
                <w:rFonts w:hint="eastAsia" w:ascii="宋体" w:hAnsi="宋体"/>
                <w:color w:val="auto"/>
                <w:sz w:val="24"/>
                <w:szCs w:val="24"/>
              </w:rPr>
              <w:t>协助甲方完成</w:t>
            </w:r>
            <w:r>
              <w:rPr>
                <w:rFonts w:ascii="宋体" w:hAnsi="宋体"/>
                <w:color w:val="auto"/>
                <w:sz w:val="24"/>
                <w:szCs w:val="24"/>
              </w:rPr>
              <w:t>详细的符合相关规范、标准的验证文件（</w:t>
            </w:r>
            <w:r>
              <w:rPr>
                <w:rFonts w:hint="eastAsia" w:ascii="宋体" w:hAnsi="宋体"/>
                <w:color w:val="auto"/>
                <w:sz w:val="24"/>
                <w:szCs w:val="24"/>
              </w:rPr>
              <w:t>易损件</w:t>
            </w:r>
            <w:r>
              <w:rPr>
                <w:rFonts w:ascii="宋体" w:hAnsi="宋体"/>
                <w:color w:val="auto"/>
                <w:sz w:val="24"/>
                <w:szCs w:val="24"/>
              </w:rPr>
              <w:t>风险分析、可追溯文件、FAT、</w:t>
            </w:r>
            <w:r>
              <w:rPr>
                <w:rFonts w:hint="eastAsia" w:ascii="宋体" w:hAnsi="宋体"/>
                <w:color w:val="auto"/>
                <w:sz w:val="24"/>
                <w:szCs w:val="24"/>
              </w:rPr>
              <w:t>S</w:t>
            </w:r>
            <w:r>
              <w:rPr>
                <w:rFonts w:ascii="宋体" w:hAnsi="宋体"/>
                <w:color w:val="auto"/>
                <w:sz w:val="24"/>
                <w:szCs w:val="24"/>
              </w:rPr>
              <w:t>AT、安装调试文件等），并在</w:t>
            </w:r>
            <w:r>
              <w:rPr>
                <w:rFonts w:hint="eastAsia" w:ascii="宋体" w:hAnsi="宋体"/>
                <w:color w:val="auto"/>
                <w:sz w:val="24"/>
                <w:szCs w:val="24"/>
              </w:rPr>
              <w:t>中标后协助完成</w:t>
            </w:r>
            <w:r>
              <w:rPr>
                <w:rFonts w:ascii="宋体" w:hAnsi="宋体"/>
                <w:color w:val="auto"/>
                <w:sz w:val="24"/>
                <w:szCs w:val="24"/>
              </w:rPr>
              <w:t>风险</w:t>
            </w:r>
            <w:r>
              <w:rPr>
                <w:rFonts w:hint="eastAsia" w:ascii="宋体" w:hAnsi="宋体"/>
                <w:color w:val="auto"/>
                <w:sz w:val="24"/>
                <w:szCs w:val="24"/>
                <w:lang w:val="en-US" w:eastAsia="zh-CN"/>
              </w:rPr>
              <w:t>评估</w:t>
            </w:r>
            <w:r>
              <w:rPr>
                <w:rFonts w:ascii="宋体" w:hAnsi="宋体"/>
                <w:color w:val="auto"/>
                <w:sz w:val="24"/>
                <w:szCs w:val="24"/>
              </w:rPr>
              <w:t>、FAT、安装调试文件等的主要文件目录，提供</w:t>
            </w:r>
            <w:r>
              <w:rPr>
                <w:rFonts w:hint="eastAsia" w:ascii="宋体" w:hAnsi="宋体"/>
                <w:color w:val="auto"/>
                <w:sz w:val="24"/>
                <w:szCs w:val="24"/>
              </w:rPr>
              <w:t>设备</w:t>
            </w:r>
            <w:r>
              <w:rPr>
                <w:rFonts w:ascii="宋体" w:hAnsi="宋体"/>
                <w:color w:val="auto"/>
                <w:sz w:val="24"/>
                <w:szCs w:val="24"/>
              </w:rPr>
              <w:t>资料、文件、图纸等，协同需方进行相关的验证工作，整体符合相关规范、标准要求。</w:t>
            </w:r>
          </w:p>
        </w:tc>
        <w:tc>
          <w:tcPr>
            <w:tcW w:w="1696" w:type="dxa"/>
            <w:tcBorders>
              <w:top w:val="double" w:color="auto" w:sz="4" w:space="0"/>
            </w:tcBorders>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URS065</w:t>
            </w:r>
          </w:p>
        </w:tc>
        <w:tc>
          <w:tcPr>
            <w:tcW w:w="5805" w:type="dxa"/>
            <w:noWrap w:val="0"/>
            <w:vAlign w:val="center"/>
          </w:tcPr>
          <w:p>
            <w:pPr>
              <w:spacing w:line="360" w:lineRule="exact"/>
              <w:rPr>
                <w:rFonts w:ascii="宋体" w:hAnsi="宋体"/>
                <w:color w:val="auto"/>
                <w:sz w:val="24"/>
                <w:szCs w:val="24"/>
              </w:rPr>
            </w:pPr>
            <w:r>
              <w:rPr>
                <w:rFonts w:ascii="宋体" w:hAnsi="宋体"/>
                <w:color w:val="auto"/>
                <w:sz w:val="24"/>
                <w:szCs w:val="24"/>
              </w:rPr>
              <w:t>供应商在</w:t>
            </w:r>
            <w:r>
              <w:rPr>
                <w:rFonts w:hint="eastAsia" w:ascii="宋体" w:hAnsi="宋体"/>
                <w:color w:val="auto"/>
                <w:sz w:val="24"/>
                <w:szCs w:val="24"/>
                <w:lang w:val="en-US" w:eastAsia="zh-CN"/>
              </w:rPr>
              <w:t>需方参与的情况下</w:t>
            </w:r>
            <w:r>
              <w:rPr>
                <w:rFonts w:ascii="宋体" w:hAnsi="宋体"/>
                <w:color w:val="auto"/>
                <w:sz w:val="24"/>
                <w:szCs w:val="24"/>
              </w:rPr>
              <w:t>执行FAT，应根据需方的URS、相关规范、标准完成</w:t>
            </w:r>
            <w:r>
              <w:rPr>
                <w:rFonts w:hint="eastAsia" w:ascii="宋体" w:hAnsi="宋体"/>
                <w:color w:val="auto"/>
                <w:sz w:val="24"/>
                <w:szCs w:val="24"/>
              </w:rPr>
              <w:t>测试</w:t>
            </w:r>
            <w:r>
              <w:rPr>
                <w:rFonts w:ascii="宋体" w:hAnsi="宋体"/>
                <w:color w:val="auto"/>
                <w:sz w:val="24"/>
                <w:szCs w:val="24"/>
              </w:rPr>
              <w:t>，并出具测试报告。</w:t>
            </w:r>
          </w:p>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供应商应提供测试偏差分析报告，并提交相应纠偏措施。</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URS066</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FAT时产生的费用包含</w:t>
            </w:r>
            <w:r>
              <w:rPr>
                <w:rFonts w:ascii="宋体" w:hAnsi="宋体"/>
                <w:color w:val="auto"/>
                <w:sz w:val="24"/>
                <w:szCs w:val="24"/>
              </w:rPr>
              <w:t>于设备成本中。</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URS067</w:t>
            </w:r>
          </w:p>
        </w:tc>
        <w:tc>
          <w:tcPr>
            <w:tcW w:w="5805" w:type="dxa"/>
            <w:noWrap w:val="0"/>
            <w:vAlign w:val="center"/>
          </w:tcPr>
          <w:p>
            <w:pPr>
              <w:spacing w:line="360" w:lineRule="exact"/>
              <w:rPr>
                <w:rFonts w:ascii="宋体" w:hAnsi="宋体"/>
                <w:color w:val="auto"/>
                <w:sz w:val="24"/>
                <w:szCs w:val="24"/>
              </w:rPr>
            </w:pPr>
            <w:r>
              <w:rPr>
                <w:rFonts w:ascii="宋体" w:hAnsi="宋体"/>
                <w:color w:val="auto"/>
                <w:sz w:val="24"/>
                <w:szCs w:val="24"/>
              </w:rPr>
              <w:t>FAT内容应包括：但不限于此：</w:t>
            </w:r>
          </w:p>
          <w:p>
            <w:pPr>
              <w:spacing w:line="360" w:lineRule="exact"/>
              <w:rPr>
                <w:rFonts w:ascii="宋体" w:hAnsi="宋体"/>
                <w:color w:val="auto"/>
                <w:sz w:val="24"/>
                <w:szCs w:val="24"/>
              </w:rPr>
            </w:pPr>
            <w:r>
              <w:rPr>
                <w:rFonts w:ascii="宋体" w:hAnsi="宋体"/>
                <w:color w:val="auto"/>
                <w:sz w:val="24"/>
                <w:szCs w:val="24"/>
              </w:rPr>
              <w:t>根据需方URS、相关规范、标准，列出测试内容；</w:t>
            </w:r>
          </w:p>
          <w:p>
            <w:pPr>
              <w:spacing w:line="360" w:lineRule="exact"/>
              <w:rPr>
                <w:rFonts w:ascii="宋体" w:hAnsi="宋体"/>
                <w:color w:val="auto"/>
                <w:sz w:val="24"/>
                <w:szCs w:val="24"/>
              </w:rPr>
            </w:pPr>
            <w:r>
              <w:rPr>
                <w:rFonts w:ascii="宋体" w:hAnsi="宋体"/>
                <w:color w:val="auto"/>
                <w:sz w:val="24"/>
                <w:szCs w:val="24"/>
              </w:rPr>
              <w:t>完成FAT测试报告；</w:t>
            </w:r>
          </w:p>
          <w:p>
            <w:pPr>
              <w:spacing w:line="360" w:lineRule="exact"/>
              <w:rPr>
                <w:rFonts w:ascii="宋体" w:hAnsi="宋体"/>
                <w:color w:val="auto"/>
                <w:sz w:val="24"/>
                <w:szCs w:val="24"/>
              </w:rPr>
            </w:pPr>
            <w:r>
              <w:rPr>
                <w:rFonts w:ascii="宋体" w:hAnsi="宋体"/>
                <w:color w:val="auto"/>
                <w:sz w:val="24"/>
                <w:szCs w:val="24"/>
              </w:rPr>
              <w:t>交付文件的确认；</w:t>
            </w:r>
          </w:p>
          <w:p>
            <w:pPr>
              <w:spacing w:line="360" w:lineRule="exact"/>
              <w:rPr>
                <w:rFonts w:ascii="宋体" w:hAnsi="宋体"/>
                <w:color w:val="auto"/>
                <w:sz w:val="24"/>
                <w:szCs w:val="24"/>
              </w:rPr>
            </w:pPr>
            <w:r>
              <w:rPr>
                <w:rFonts w:ascii="宋体" w:hAnsi="宋体"/>
                <w:color w:val="auto"/>
                <w:sz w:val="24"/>
                <w:szCs w:val="24"/>
              </w:rPr>
              <w:t>设备外观确认；</w:t>
            </w:r>
          </w:p>
          <w:p>
            <w:pPr>
              <w:spacing w:line="360" w:lineRule="exact"/>
              <w:rPr>
                <w:rFonts w:ascii="宋体" w:hAnsi="宋体"/>
                <w:color w:val="auto"/>
                <w:sz w:val="24"/>
                <w:szCs w:val="24"/>
              </w:rPr>
            </w:pPr>
            <w:r>
              <w:rPr>
                <w:rFonts w:ascii="宋体" w:hAnsi="宋体"/>
                <w:color w:val="auto"/>
                <w:sz w:val="24"/>
                <w:szCs w:val="24"/>
              </w:rPr>
              <w:t>设备电</w:t>
            </w:r>
            <w:r>
              <w:rPr>
                <w:rFonts w:hint="eastAsia" w:ascii="宋体" w:hAnsi="宋体"/>
                <w:color w:val="auto"/>
                <w:sz w:val="24"/>
                <w:szCs w:val="24"/>
              </w:rPr>
              <w:t>气</w:t>
            </w:r>
            <w:r>
              <w:rPr>
                <w:rFonts w:ascii="宋体" w:hAnsi="宋体"/>
                <w:color w:val="auto"/>
                <w:sz w:val="24"/>
                <w:szCs w:val="24"/>
              </w:rPr>
              <w:t>安装确认；</w:t>
            </w:r>
          </w:p>
          <w:p>
            <w:pPr>
              <w:spacing w:line="360" w:lineRule="exact"/>
              <w:rPr>
                <w:rFonts w:ascii="宋体" w:hAnsi="宋体"/>
                <w:color w:val="auto"/>
                <w:sz w:val="24"/>
                <w:szCs w:val="24"/>
              </w:rPr>
            </w:pPr>
            <w:r>
              <w:rPr>
                <w:rFonts w:ascii="宋体" w:hAnsi="宋体"/>
                <w:color w:val="auto"/>
                <w:sz w:val="24"/>
                <w:szCs w:val="24"/>
              </w:rPr>
              <w:t>设备运行检测（包括性能测试、系统参数测试</w:t>
            </w:r>
            <w:r>
              <w:rPr>
                <w:rFonts w:hint="eastAsia" w:ascii="宋体" w:hAnsi="宋体"/>
                <w:color w:val="auto"/>
                <w:sz w:val="24"/>
                <w:szCs w:val="24"/>
                <w:lang w:eastAsia="zh-CN"/>
              </w:rPr>
              <w:t>、</w:t>
            </w:r>
            <w:r>
              <w:rPr>
                <w:rFonts w:hint="eastAsia" w:ascii="宋体" w:hAnsi="宋体"/>
                <w:color w:val="auto"/>
                <w:sz w:val="24"/>
                <w:szCs w:val="24"/>
                <w:lang w:val="en-US" w:eastAsia="zh-CN"/>
              </w:rPr>
              <w:t>全载排气压力，排期温度、排气量、功率</w:t>
            </w:r>
            <w:r>
              <w:rPr>
                <w:rFonts w:ascii="宋体" w:hAnsi="宋体"/>
                <w:color w:val="auto"/>
                <w:sz w:val="24"/>
                <w:szCs w:val="24"/>
              </w:rPr>
              <w:t>等）；</w:t>
            </w:r>
          </w:p>
          <w:p>
            <w:pPr>
              <w:spacing w:line="360" w:lineRule="exact"/>
              <w:rPr>
                <w:rFonts w:ascii="宋体" w:hAnsi="宋体"/>
                <w:color w:val="auto"/>
                <w:sz w:val="24"/>
                <w:szCs w:val="24"/>
              </w:rPr>
            </w:pPr>
            <w:r>
              <w:rPr>
                <w:rFonts w:ascii="宋体" w:hAnsi="宋体"/>
                <w:color w:val="auto"/>
                <w:sz w:val="24"/>
                <w:szCs w:val="24"/>
              </w:rPr>
              <w:t>测试设备清单；</w:t>
            </w:r>
          </w:p>
          <w:p>
            <w:pPr>
              <w:spacing w:line="360" w:lineRule="exact"/>
              <w:rPr>
                <w:rFonts w:hint="eastAsia" w:ascii="Arial" w:hAnsi="Arial" w:eastAsia="宋体" w:cs="Arial"/>
                <w:color w:val="auto"/>
                <w:kern w:val="2"/>
                <w:sz w:val="24"/>
                <w:szCs w:val="24"/>
                <w:lang w:val="en-US" w:eastAsia="zh-CN" w:bidi="ar-SA"/>
              </w:rPr>
            </w:pPr>
            <w:r>
              <w:rPr>
                <w:rFonts w:hint="eastAsia" w:ascii="宋体" w:hAnsi="宋体"/>
                <w:color w:val="auto"/>
                <w:sz w:val="24"/>
                <w:szCs w:val="24"/>
              </w:rPr>
              <w:t>合格</w:t>
            </w:r>
            <w:r>
              <w:rPr>
                <w:rFonts w:ascii="宋体" w:hAnsi="宋体"/>
                <w:color w:val="auto"/>
                <w:sz w:val="24"/>
                <w:szCs w:val="24"/>
              </w:rPr>
              <w:t>证书确认。</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URS068</w:t>
            </w:r>
          </w:p>
        </w:tc>
        <w:tc>
          <w:tcPr>
            <w:tcW w:w="5805" w:type="dxa"/>
            <w:noWrap w:val="0"/>
            <w:vAlign w:val="center"/>
          </w:tcPr>
          <w:p>
            <w:pPr>
              <w:spacing w:before="156" w:beforeLines="50" w:after="156" w:afterLines="50"/>
              <w:rPr>
                <w:rFonts w:hint="eastAsia" w:ascii="Arial" w:hAnsi="Arial" w:eastAsia="宋体" w:cs="Arial"/>
                <w:color w:val="auto"/>
                <w:kern w:val="2"/>
                <w:sz w:val="24"/>
                <w:szCs w:val="24"/>
                <w:lang w:val="en-US" w:eastAsia="zh-CN" w:bidi="ar-SA"/>
              </w:rPr>
            </w:pPr>
            <w:r>
              <w:rPr>
                <w:rFonts w:hint="eastAsia" w:ascii="Arial" w:hAnsi="Arial" w:cs="Arial"/>
                <w:color w:val="auto"/>
                <w:sz w:val="24"/>
                <w:szCs w:val="24"/>
              </w:rPr>
              <w:t>供货方协助完成IQ、OQ</w:t>
            </w:r>
            <w:r>
              <w:rPr>
                <w:rFonts w:hint="eastAsia" w:ascii="Arial" w:hAnsi="Arial" w:cs="Arial"/>
                <w:color w:val="auto"/>
                <w:sz w:val="24"/>
                <w:szCs w:val="24"/>
                <w:lang w:eastAsia="zh-CN"/>
              </w:rPr>
              <w:t>、</w:t>
            </w:r>
            <w:r>
              <w:rPr>
                <w:rFonts w:hint="eastAsia" w:ascii="Arial" w:hAnsi="Arial" w:cs="Arial"/>
                <w:color w:val="auto"/>
                <w:sz w:val="24"/>
                <w:szCs w:val="24"/>
              </w:rPr>
              <w:t>PQ方案、报告及测试</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URS069</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供应商应派遣有实践经验的技术人员与需方及设备安装单位一起进行设备的调试及试运行工作。因设备自身质量问题或</w:t>
            </w:r>
            <w:r>
              <w:rPr>
                <w:rFonts w:hint="eastAsia" w:ascii="宋体" w:hAnsi="宋体"/>
                <w:color w:val="auto"/>
                <w:sz w:val="24"/>
                <w:szCs w:val="24"/>
              </w:rPr>
              <w:t>生产厂家</w:t>
            </w:r>
            <w:r>
              <w:rPr>
                <w:rFonts w:ascii="宋体" w:hAnsi="宋体"/>
                <w:color w:val="auto"/>
                <w:sz w:val="24"/>
                <w:szCs w:val="24"/>
              </w:rPr>
              <w:t>指导安装出现差错, 供应商应全权负责消除差错，直到满</w:t>
            </w:r>
            <w:r>
              <w:rPr>
                <w:rFonts w:hint="eastAsia" w:ascii="宋体" w:hAnsi="宋体"/>
                <w:color w:val="auto"/>
                <w:sz w:val="24"/>
                <w:szCs w:val="24"/>
              </w:rPr>
              <w:t>足</w:t>
            </w:r>
            <w:r>
              <w:rPr>
                <w:rFonts w:ascii="宋体" w:hAnsi="宋体"/>
                <w:color w:val="auto"/>
                <w:sz w:val="24"/>
                <w:szCs w:val="24"/>
              </w:rPr>
              <w:t>需方</w:t>
            </w:r>
            <w:r>
              <w:rPr>
                <w:rFonts w:hint="eastAsia" w:ascii="宋体" w:hAnsi="宋体"/>
                <w:color w:val="auto"/>
                <w:sz w:val="24"/>
                <w:szCs w:val="24"/>
              </w:rPr>
              <w:t>要求</w:t>
            </w:r>
            <w:r>
              <w:rPr>
                <w:rFonts w:ascii="宋体" w:hAnsi="宋体"/>
                <w:color w:val="auto"/>
                <w:sz w:val="24"/>
                <w:szCs w:val="24"/>
              </w:rPr>
              <w:t>。</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URS070</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在调试期间供应商应在现场负责测试和调试，以检测其设计、制造、运行效果等。并提供所有测试和调试所需的工具、材料、仪器，一切费用由供应商负责。所用仪器、仪表应经检定合格并在有效期内，并提供检定证书。</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URS071</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设备安装完成后供应商有技术人员协同需方进行系统试运行，能够连续保证一个月系统正常运行无故障为验收合格。</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jc w:val="left"/>
        <w:textAlignment w:val="top"/>
        <w:outlineLvl w:val="0"/>
        <w:rPr>
          <w:rFonts w:hint="default"/>
          <w:b/>
          <w:color w:val="auto"/>
          <w:kern w:val="0"/>
          <w:sz w:val="24"/>
          <w:szCs w:val="24"/>
          <w:lang w:val="en-US" w:eastAsia="zh-CN"/>
        </w:rPr>
      </w:pPr>
      <w:bookmarkStart w:id="13" w:name="_Toc4500"/>
      <w:r>
        <w:rPr>
          <w:rFonts w:hint="eastAsia"/>
          <w:b/>
          <w:color w:val="auto"/>
          <w:kern w:val="0"/>
          <w:sz w:val="24"/>
          <w:szCs w:val="24"/>
          <w:lang w:val="en-US" w:eastAsia="zh-CN"/>
        </w:rPr>
        <w:t>4.12文件要求</w:t>
      </w:r>
      <w:bookmarkEnd w:id="13"/>
    </w:p>
    <w:tbl>
      <w:tblPr>
        <w:tblStyle w:val="11"/>
        <w:tblW w:w="9296"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5" w:hRule="atLeast"/>
          <w:tblHeader/>
        </w:trPr>
        <w:tc>
          <w:tcPr>
            <w:tcW w:w="179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center"/>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1795" w:type="dxa"/>
            <w:tcBorders>
              <w:top w:val="double" w:color="auto" w:sz="4" w:space="0"/>
            </w:tcBorders>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URS072</w:t>
            </w:r>
          </w:p>
        </w:tc>
        <w:tc>
          <w:tcPr>
            <w:tcW w:w="5805" w:type="dxa"/>
            <w:tcBorders>
              <w:top w:val="double" w:color="auto" w:sz="4" w:space="0"/>
            </w:tcBorders>
            <w:noWrap w:val="0"/>
            <w:vAlign w:val="center"/>
          </w:tcPr>
          <w:p>
            <w:pPr>
              <w:widowControl/>
              <w:numPr>
                <w:ilvl w:val="0"/>
                <w:numId w:val="3"/>
              </w:numPr>
              <w:jc w:val="left"/>
              <w:rPr>
                <w:rFonts w:ascii="Calibri" w:hAnsi="Calibri" w:cs="Arial"/>
                <w:color w:val="auto"/>
                <w:sz w:val="24"/>
                <w:szCs w:val="24"/>
              </w:rPr>
            </w:pPr>
            <w:r>
              <w:rPr>
                <w:rFonts w:ascii="Calibri" w:hAnsi="Calibri" w:cs="宋体"/>
                <w:color w:val="auto"/>
                <w:sz w:val="24"/>
                <w:szCs w:val="24"/>
              </w:rPr>
              <w:t>电气：</w:t>
            </w:r>
          </w:p>
          <w:p>
            <w:pPr>
              <w:widowControl/>
              <w:numPr>
                <w:ilvl w:val="0"/>
                <w:numId w:val="4"/>
              </w:numPr>
              <w:jc w:val="left"/>
              <w:rPr>
                <w:rFonts w:ascii="Calibri" w:hAnsi="Calibri" w:cs="Arial"/>
                <w:color w:val="auto"/>
                <w:sz w:val="24"/>
                <w:szCs w:val="24"/>
              </w:rPr>
            </w:pPr>
            <w:r>
              <w:rPr>
                <w:rFonts w:ascii="Calibri" w:hAnsi="Calibri" w:cs="宋体"/>
                <w:color w:val="auto"/>
                <w:sz w:val="24"/>
                <w:szCs w:val="24"/>
              </w:rPr>
              <w:t>电气原理图。</w:t>
            </w:r>
          </w:p>
          <w:p>
            <w:pPr>
              <w:widowControl/>
              <w:numPr>
                <w:ilvl w:val="0"/>
                <w:numId w:val="3"/>
              </w:numPr>
              <w:jc w:val="left"/>
              <w:rPr>
                <w:rFonts w:ascii="Calibri" w:hAnsi="Calibri" w:cs="Arial"/>
                <w:color w:val="auto"/>
                <w:sz w:val="24"/>
                <w:szCs w:val="24"/>
              </w:rPr>
            </w:pPr>
            <w:r>
              <w:rPr>
                <w:rFonts w:ascii="Calibri" w:hAnsi="Calibri" w:cs="宋体"/>
                <w:color w:val="auto"/>
                <w:sz w:val="24"/>
                <w:szCs w:val="24"/>
              </w:rPr>
              <w:t>仪表：</w:t>
            </w:r>
          </w:p>
          <w:p>
            <w:pPr>
              <w:widowControl/>
              <w:numPr>
                <w:ilvl w:val="0"/>
                <w:numId w:val="5"/>
              </w:numPr>
              <w:jc w:val="left"/>
              <w:rPr>
                <w:rFonts w:ascii="Calibri" w:hAnsi="Calibri" w:cs="Arial"/>
                <w:color w:val="auto"/>
                <w:sz w:val="24"/>
                <w:szCs w:val="24"/>
              </w:rPr>
            </w:pPr>
            <w:r>
              <w:rPr>
                <w:rFonts w:hint="eastAsia" w:ascii="Calibri" w:hAnsi="Calibri" w:cs="宋体"/>
                <w:color w:val="auto"/>
                <w:sz w:val="24"/>
                <w:szCs w:val="24"/>
                <w:lang w:val="en-US" w:eastAsia="zh-CN"/>
              </w:rPr>
              <w:t>合格证书</w:t>
            </w:r>
            <w:r>
              <w:rPr>
                <w:rFonts w:ascii="Calibri" w:hAnsi="Calibri" w:cs="宋体"/>
                <w:color w:val="auto"/>
                <w:sz w:val="24"/>
                <w:szCs w:val="24"/>
              </w:rPr>
              <w:t>。</w:t>
            </w:r>
          </w:p>
          <w:p>
            <w:pPr>
              <w:widowControl/>
              <w:numPr>
                <w:ilvl w:val="0"/>
                <w:numId w:val="3"/>
              </w:numPr>
              <w:jc w:val="left"/>
              <w:rPr>
                <w:rFonts w:ascii="Calibri" w:hAnsi="Calibri" w:cs="Arial"/>
                <w:color w:val="auto"/>
                <w:sz w:val="24"/>
                <w:szCs w:val="24"/>
              </w:rPr>
            </w:pPr>
            <w:r>
              <w:rPr>
                <w:rFonts w:ascii="Calibri" w:hAnsi="Calibri" w:cs="宋体"/>
                <w:color w:val="auto"/>
                <w:sz w:val="24"/>
                <w:szCs w:val="24"/>
              </w:rPr>
              <w:t>设备的说明书，包括（但不仅限于）搬运、安装、操作、维护保养等。</w:t>
            </w:r>
          </w:p>
          <w:p>
            <w:pPr>
              <w:widowControl/>
              <w:numPr>
                <w:ilvl w:val="0"/>
                <w:numId w:val="3"/>
              </w:numPr>
              <w:jc w:val="left"/>
              <w:rPr>
                <w:rFonts w:ascii="Calibri" w:hAnsi="Calibri" w:cs="Arial"/>
                <w:color w:val="auto"/>
                <w:sz w:val="24"/>
                <w:szCs w:val="24"/>
              </w:rPr>
            </w:pPr>
            <w:r>
              <w:rPr>
                <w:rFonts w:ascii="Calibri" w:hAnsi="Calibri" w:cs="宋体"/>
                <w:color w:val="auto"/>
                <w:sz w:val="24"/>
                <w:szCs w:val="24"/>
              </w:rPr>
              <w:t>设备的</w:t>
            </w:r>
            <w:r>
              <w:rPr>
                <w:rFonts w:ascii="Calibri" w:hAnsi="Calibri" w:cs="Arial"/>
                <w:color w:val="auto"/>
                <w:sz w:val="24"/>
                <w:szCs w:val="24"/>
              </w:rPr>
              <w:t>P&amp;ID</w:t>
            </w:r>
            <w:r>
              <w:rPr>
                <w:rFonts w:ascii="Calibri" w:hAnsi="Calibri" w:cs="宋体"/>
                <w:color w:val="auto"/>
                <w:sz w:val="24"/>
                <w:szCs w:val="24"/>
              </w:rPr>
              <w:t>图。</w:t>
            </w:r>
          </w:p>
          <w:p>
            <w:pPr>
              <w:widowControl/>
              <w:numPr>
                <w:ilvl w:val="0"/>
                <w:numId w:val="3"/>
              </w:numPr>
              <w:jc w:val="left"/>
              <w:rPr>
                <w:rFonts w:ascii="Calibri" w:hAnsi="Calibri" w:cs="Arial"/>
                <w:color w:val="auto"/>
                <w:sz w:val="24"/>
                <w:szCs w:val="24"/>
              </w:rPr>
            </w:pPr>
            <w:r>
              <w:rPr>
                <w:rFonts w:ascii="Calibri" w:hAnsi="Calibri" w:cs="宋体"/>
                <w:color w:val="auto"/>
                <w:sz w:val="24"/>
                <w:szCs w:val="24"/>
              </w:rPr>
              <w:t>设备的易损件清单。</w:t>
            </w:r>
          </w:p>
          <w:p>
            <w:pPr>
              <w:widowControl/>
              <w:numPr>
                <w:ilvl w:val="0"/>
                <w:numId w:val="3"/>
              </w:numPr>
              <w:ind w:left="420" w:leftChars="0" w:hanging="420" w:firstLineChars="0"/>
              <w:jc w:val="left"/>
              <w:rPr>
                <w:rFonts w:hint="eastAsia" w:ascii="Calibri" w:hAnsi="Calibri" w:eastAsia="宋体" w:cs="Arial"/>
                <w:color w:val="auto"/>
                <w:kern w:val="2"/>
                <w:sz w:val="21"/>
                <w:szCs w:val="24"/>
                <w:lang w:val="en-US" w:eastAsia="zh-CN" w:bidi="ar-SA"/>
              </w:rPr>
            </w:pPr>
            <w:r>
              <w:rPr>
                <w:rFonts w:ascii="Calibri" w:hAnsi="Calibri" w:cs="宋体"/>
                <w:color w:val="auto"/>
                <w:sz w:val="24"/>
                <w:szCs w:val="24"/>
              </w:rPr>
              <w:t>设备的备品备件清单。</w:t>
            </w:r>
          </w:p>
        </w:tc>
        <w:tc>
          <w:tcPr>
            <w:tcW w:w="1696" w:type="dxa"/>
            <w:tcBorders>
              <w:top w:val="double" w:color="auto" w:sz="4" w:space="0"/>
            </w:tcBorders>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URS073</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仪表</w:t>
            </w:r>
            <w:r>
              <w:rPr>
                <w:rFonts w:hint="eastAsia" w:ascii="宋体" w:hAnsi="宋体"/>
                <w:color w:val="auto"/>
                <w:sz w:val="24"/>
                <w:szCs w:val="24"/>
                <w:lang w:val="en-US" w:eastAsia="zh-CN"/>
              </w:rPr>
              <w:t>计量：具备</w:t>
            </w:r>
            <w:r>
              <w:rPr>
                <w:rFonts w:hint="eastAsia" w:ascii="宋体" w:hAnsi="宋体"/>
                <w:color w:val="auto"/>
                <w:sz w:val="24"/>
                <w:szCs w:val="24"/>
              </w:rPr>
              <w:t>第三方（国家认可的第三方）</w:t>
            </w:r>
            <w:r>
              <w:rPr>
                <w:rFonts w:hint="eastAsia" w:ascii="宋体" w:hAnsi="宋体"/>
                <w:color w:val="auto"/>
                <w:sz w:val="24"/>
                <w:szCs w:val="24"/>
                <w:lang w:val="en-US" w:eastAsia="zh-CN"/>
              </w:rPr>
              <w:t>计量</w:t>
            </w:r>
            <w:r>
              <w:rPr>
                <w:rFonts w:hint="eastAsia" w:ascii="宋体" w:hAnsi="宋体"/>
                <w:color w:val="auto"/>
                <w:sz w:val="24"/>
                <w:szCs w:val="24"/>
              </w:rPr>
              <w:t>证书。（仪表第三方的</w:t>
            </w:r>
            <w:r>
              <w:rPr>
                <w:rFonts w:hint="eastAsia" w:ascii="宋体" w:hAnsi="宋体"/>
                <w:color w:val="auto"/>
                <w:sz w:val="24"/>
                <w:szCs w:val="24"/>
                <w:lang w:val="en-US" w:eastAsia="zh-CN"/>
              </w:rPr>
              <w:t>校验</w:t>
            </w:r>
            <w:r>
              <w:rPr>
                <w:rFonts w:hint="eastAsia" w:ascii="宋体" w:hAnsi="宋体"/>
                <w:color w:val="auto"/>
                <w:sz w:val="24"/>
                <w:szCs w:val="24"/>
              </w:rPr>
              <w:t>需要在OQ前完成，在IQ报告签批前）</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URS074</w:t>
            </w:r>
          </w:p>
        </w:tc>
        <w:tc>
          <w:tcPr>
            <w:tcW w:w="5805" w:type="dxa"/>
            <w:noWrap w:val="0"/>
            <w:vAlign w:val="center"/>
          </w:tcPr>
          <w:p>
            <w:pPr>
              <w:spacing w:line="360" w:lineRule="exact"/>
              <w:rPr>
                <w:rFonts w:ascii="宋体" w:hAnsi="宋体"/>
                <w:color w:val="auto"/>
                <w:sz w:val="24"/>
                <w:szCs w:val="24"/>
              </w:rPr>
            </w:pPr>
            <w:r>
              <w:rPr>
                <w:rFonts w:hint="eastAsia" w:ascii="宋体" w:hAnsi="宋体"/>
                <w:color w:val="auto"/>
                <w:sz w:val="24"/>
                <w:szCs w:val="24"/>
              </w:rPr>
              <w:t xml:space="preserve">HMI操作界面程序          </w:t>
            </w:r>
          </w:p>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运行维护手册（使用说明书、故障维修说明书）</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URS075</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整机</w:t>
            </w:r>
            <w:r>
              <w:rPr>
                <w:rFonts w:ascii="宋体" w:hAnsi="宋体"/>
                <w:color w:val="auto"/>
                <w:sz w:val="24"/>
                <w:szCs w:val="24"/>
              </w:rPr>
              <w:t>合格证</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URS076</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中文的操作手册、维护手册、安装手册、</w:t>
            </w:r>
            <w:r>
              <w:rPr>
                <w:rFonts w:hint="eastAsia" w:ascii="宋体" w:hAnsi="宋体"/>
                <w:color w:val="auto"/>
                <w:sz w:val="24"/>
                <w:szCs w:val="24"/>
              </w:rPr>
              <w:t>零部件清单</w:t>
            </w:r>
            <w:r>
              <w:rPr>
                <w:rFonts w:ascii="宋体" w:hAnsi="宋体"/>
                <w:color w:val="auto"/>
                <w:sz w:val="24"/>
                <w:szCs w:val="24"/>
              </w:rPr>
              <w:t>手册</w:t>
            </w:r>
            <w:r>
              <w:rPr>
                <w:rFonts w:hint="eastAsia" w:ascii="宋体" w:hAnsi="宋体"/>
                <w:color w:val="auto"/>
                <w:sz w:val="24"/>
                <w:szCs w:val="24"/>
              </w:rPr>
              <w:t>，</w:t>
            </w:r>
            <w:r>
              <w:rPr>
                <w:rFonts w:ascii="宋体" w:hAnsi="宋体"/>
                <w:color w:val="auto"/>
                <w:sz w:val="24"/>
                <w:szCs w:val="24"/>
              </w:rPr>
              <w:t>该部分文件</w:t>
            </w:r>
            <w:r>
              <w:rPr>
                <w:rFonts w:hint="eastAsia" w:ascii="宋体" w:hAnsi="宋体"/>
                <w:color w:val="auto"/>
                <w:sz w:val="24"/>
                <w:szCs w:val="24"/>
                <w:lang w:eastAsia="zh-CN"/>
              </w:rPr>
              <w:t>必需</w:t>
            </w:r>
            <w:r>
              <w:rPr>
                <w:rFonts w:hint="eastAsia" w:ascii="宋体" w:hAnsi="宋体"/>
                <w:color w:val="auto"/>
                <w:sz w:val="24"/>
                <w:szCs w:val="24"/>
              </w:rPr>
              <w:t>随</w:t>
            </w:r>
            <w:r>
              <w:rPr>
                <w:rFonts w:ascii="宋体" w:hAnsi="宋体"/>
                <w:color w:val="auto"/>
                <w:sz w:val="24"/>
                <w:szCs w:val="24"/>
              </w:rPr>
              <w:t>设备</w:t>
            </w:r>
            <w:r>
              <w:rPr>
                <w:rFonts w:hint="eastAsia" w:ascii="宋体" w:hAnsi="宋体"/>
                <w:color w:val="auto"/>
                <w:sz w:val="24"/>
                <w:szCs w:val="24"/>
              </w:rPr>
              <w:t>发运时一起</w:t>
            </w:r>
            <w:r>
              <w:rPr>
                <w:rFonts w:ascii="宋体" w:hAnsi="宋体"/>
                <w:color w:val="auto"/>
                <w:sz w:val="24"/>
                <w:szCs w:val="24"/>
              </w:rPr>
              <w:t>提供</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URS077</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设备外形尺寸图、</w:t>
            </w:r>
            <w:r>
              <w:rPr>
                <w:rFonts w:hint="eastAsia" w:ascii="宋体" w:hAnsi="宋体"/>
                <w:color w:val="auto"/>
                <w:sz w:val="24"/>
                <w:szCs w:val="24"/>
                <w:lang w:val="en-US" w:eastAsia="zh-CN"/>
              </w:rPr>
              <w:t>系统</w:t>
            </w:r>
            <w:r>
              <w:rPr>
                <w:rFonts w:ascii="宋体" w:hAnsi="宋体"/>
                <w:color w:val="auto"/>
                <w:sz w:val="24"/>
                <w:szCs w:val="24"/>
              </w:rPr>
              <w:t>工艺流程图、电气原理图、接线图；</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URS078</w:t>
            </w:r>
          </w:p>
        </w:tc>
        <w:tc>
          <w:tcPr>
            <w:tcW w:w="5805" w:type="dxa"/>
            <w:noWrap w:val="0"/>
            <w:vAlign w:val="center"/>
          </w:tcPr>
          <w:p>
            <w:pPr>
              <w:spacing w:line="360" w:lineRule="exact"/>
              <w:rPr>
                <w:rFonts w:ascii="宋体" w:hAnsi="宋体"/>
                <w:color w:val="auto"/>
                <w:sz w:val="24"/>
                <w:szCs w:val="24"/>
              </w:rPr>
            </w:pPr>
            <w:r>
              <w:rPr>
                <w:rFonts w:ascii="宋体" w:hAnsi="宋体"/>
                <w:color w:val="auto"/>
                <w:sz w:val="24"/>
                <w:szCs w:val="24"/>
              </w:rPr>
              <w:t>设备附带文件资料</w:t>
            </w:r>
          </w:p>
          <w:p>
            <w:pPr>
              <w:spacing w:line="360" w:lineRule="exact"/>
              <w:rPr>
                <w:rFonts w:ascii="宋体" w:hAnsi="宋体"/>
                <w:color w:val="auto"/>
                <w:sz w:val="24"/>
                <w:szCs w:val="24"/>
              </w:rPr>
            </w:pPr>
            <w:r>
              <w:rPr>
                <w:rFonts w:ascii="宋体" w:hAnsi="宋体"/>
                <w:color w:val="auto"/>
                <w:sz w:val="24"/>
                <w:szCs w:val="24"/>
              </w:rPr>
              <w:t>官方认证文献：压力容器证书、设备安全证书等；</w:t>
            </w:r>
          </w:p>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提供压力试验报告</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URS079</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所有文件需要提供纸质版及电子版。</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spacing w:line="480" w:lineRule="auto"/>
        <w:ind w:leftChars="0" w:right="0" w:rightChars="0"/>
        <w:jc w:val="left"/>
        <w:textAlignment w:val="top"/>
        <w:outlineLvl w:val="0"/>
        <w:rPr>
          <w:rFonts w:hint="default"/>
          <w:b/>
          <w:color w:val="auto"/>
          <w:kern w:val="0"/>
          <w:sz w:val="24"/>
          <w:szCs w:val="24"/>
          <w:lang w:val="en-US" w:eastAsia="zh-CN"/>
        </w:rPr>
      </w:pPr>
      <w:bookmarkStart w:id="14" w:name="_Toc30176"/>
      <w:r>
        <w:rPr>
          <w:rFonts w:hint="eastAsia"/>
          <w:b/>
          <w:color w:val="auto"/>
          <w:kern w:val="0"/>
          <w:sz w:val="24"/>
          <w:szCs w:val="24"/>
          <w:lang w:val="en-US" w:eastAsia="zh-CN"/>
        </w:rPr>
        <w:t>4.13培训及售后服务要求</w:t>
      </w:r>
      <w:bookmarkEnd w:id="14"/>
    </w:p>
    <w:tbl>
      <w:tblPr>
        <w:tblStyle w:val="11"/>
        <w:tblW w:w="9296"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5" w:hRule="atLeast"/>
          <w:tblHeader/>
        </w:trPr>
        <w:tc>
          <w:tcPr>
            <w:tcW w:w="179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center"/>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1795" w:type="dxa"/>
            <w:tcBorders>
              <w:top w:val="double" w:color="auto" w:sz="4" w:space="0"/>
            </w:tcBorders>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URS080</w:t>
            </w:r>
          </w:p>
        </w:tc>
        <w:tc>
          <w:tcPr>
            <w:tcW w:w="5805" w:type="dxa"/>
            <w:tcBorders>
              <w:top w:val="double" w:color="auto" w:sz="4" w:space="0"/>
            </w:tcBorders>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设备供应商负责所有技术指导和人员培训，包括：图纸、工艺、操作、设备维护、设备性能及问题解答。</w:t>
            </w:r>
          </w:p>
        </w:tc>
        <w:tc>
          <w:tcPr>
            <w:tcW w:w="1696" w:type="dxa"/>
            <w:tcBorders>
              <w:top w:val="double" w:color="auto" w:sz="4" w:space="0"/>
            </w:tcBorders>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URS081</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培训对象：管理、技术、维修、操作及相关人员。</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URS082</w:t>
            </w:r>
          </w:p>
        </w:tc>
        <w:tc>
          <w:tcPr>
            <w:tcW w:w="5805" w:type="dxa"/>
            <w:noWrap w:val="0"/>
            <w:vAlign w:val="center"/>
          </w:tcPr>
          <w:p>
            <w:pPr>
              <w:spacing w:line="360" w:lineRule="exact"/>
              <w:rPr>
                <w:rFonts w:ascii="宋体" w:hAnsi="宋体"/>
                <w:color w:val="auto"/>
                <w:sz w:val="24"/>
                <w:szCs w:val="24"/>
              </w:rPr>
            </w:pPr>
            <w:r>
              <w:rPr>
                <w:rFonts w:hint="eastAsia" w:ascii="宋体" w:hAnsi="宋体"/>
                <w:color w:val="auto"/>
                <w:sz w:val="24"/>
                <w:szCs w:val="24"/>
              </w:rPr>
              <w:t>培训内容：</w:t>
            </w:r>
          </w:p>
          <w:p>
            <w:pPr>
              <w:spacing w:line="360" w:lineRule="exact"/>
              <w:rPr>
                <w:rFonts w:ascii="宋体" w:hAnsi="宋体"/>
                <w:color w:val="auto"/>
                <w:sz w:val="24"/>
                <w:szCs w:val="24"/>
              </w:rPr>
            </w:pPr>
            <w:r>
              <w:rPr>
                <w:rFonts w:hint="eastAsia" w:ascii="宋体" w:hAnsi="宋体"/>
                <w:color w:val="auto"/>
                <w:sz w:val="24"/>
                <w:szCs w:val="24"/>
              </w:rPr>
              <w:tab/>
            </w:r>
            <w:r>
              <w:rPr>
                <w:rFonts w:hint="eastAsia" w:ascii="宋体" w:hAnsi="宋体"/>
                <w:color w:val="auto"/>
                <w:sz w:val="24"/>
                <w:szCs w:val="24"/>
              </w:rPr>
              <w:t>综合培训（掌握设备理论知识）</w:t>
            </w:r>
          </w:p>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ab/>
            </w:r>
            <w:r>
              <w:rPr>
                <w:rFonts w:hint="eastAsia" w:ascii="宋体" w:hAnsi="宋体"/>
                <w:color w:val="auto"/>
                <w:sz w:val="24"/>
                <w:szCs w:val="24"/>
              </w:rPr>
              <w:t>现场培训（设备实践操作知识）</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URS083</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免费提供不少于2天的设备操作及维护知识的培训。</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URS084</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供应商</w:t>
            </w:r>
            <w:r>
              <w:rPr>
                <w:rFonts w:hint="eastAsia" w:ascii="宋体" w:hAnsi="宋体"/>
                <w:color w:val="auto"/>
                <w:sz w:val="24"/>
                <w:szCs w:val="24"/>
                <w:lang w:eastAsia="zh-CN"/>
              </w:rPr>
              <w:t>必需</w:t>
            </w:r>
            <w:r>
              <w:rPr>
                <w:rFonts w:ascii="宋体" w:hAnsi="宋体"/>
                <w:color w:val="auto"/>
                <w:sz w:val="24"/>
                <w:szCs w:val="24"/>
              </w:rPr>
              <w:t>使用标</w:t>
            </w:r>
            <w:r>
              <w:rPr>
                <w:rFonts w:hint="eastAsia" w:ascii="宋体" w:hAnsi="宋体"/>
                <w:color w:val="auto"/>
                <w:sz w:val="24"/>
                <w:szCs w:val="24"/>
              </w:rPr>
              <w:t>准</w:t>
            </w:r>
            <w:r>
              <w:rPr>
                <w:rFonts w:ascii="宋体" w:hAnsi="宋体"/>
                <w:color w:val="auto"/>
                <w:sz w:val="24"/>
                <w:szCs w:val="24"/>
              </w:rPr>
              <w:t>配件，若不使用标</w:t>
            </w:r>
            <w:r>
              <w:rPr>
                <w:rFonts w:hint="eastAsia" w:ascii="宋体" w:hAnsi="宋体"/>
                <w:color w:val="auto"/>
                <w:sz w:val="24"/>
                <w:szCs w:val="24"/>
              </w:rPr>
              <w:t>准</w:t>
            </w:r>
            <w:r>
              <w:rPr>
                <w:rFonts w:ascii="宋体" w:hAnsi="宋体"/>
                <w:color w:val="auto"/>
                <w:sz w:val="24"/>
                <w:szCs w:val="24"/>
              </w:rPr>
              <w:t>配件的，</w:t>
            </w:r>
            <w:r>
              <w:rPr>
                <w:rFonts w:hint="eastAsia" w:ascii="宋体" w:hAnsi="宋体"/>
                <w:color w:val="auto"/>
                <w:sz w:val="24"/>
                <w:szCs w:val="24"/>
              </w:rPr>
              <w:t>后</w:t>
            </w:r>
            <w:r>
              <w:rPr>
                <w:rFonts w:ascii="宋体" w:hAnsi="宋体"/>
                <w:color w:val="auto"/>
                <w:sz w:val="24"/>
                <w:szCs w:val="24"/>
              </w:rPr>
              <w:t>期的</w:t>
            </w:r>
            <w:r>
              <w:rPr>
                <w:rFonts w:hint="eastAsia" w:ascii="宋体" w:hAnsi="宋体"/>
                <w:color w:val="auto"/>
                <w:sz w:val="24"/>
                <w:szCs w:val="24"/>
              </w:rPr>
              <w:t>供</w:t>
            </w:r>
            <w:r>
              <w:rPr>
                <w:rFonts w:ascii="宋体" w:hAnsi="宋体"/>
                <w:color w:val="auto"/>
                <w:sz w:val="24"/>
                <w:szCs w:val="24"/>
              </w:rPr>
              <w:t>货价格</w:t>
            </w:r>
            <w:r>
              <w:rPr>
                <w:rFonts w:hint="eastAsia" w:ascii="宋体" w:hAnsi="宋体"/>
                <w:color w:val="auto"/>
                <w:sz w:val="24"/>
                <w:szCs w:val="24"/>
              </w:rPr>
              <w:t>不得高于市场同类别最低价格，且需要享受主合同的最低折扣。</w:t>
            </w:r>
          </w:p>
        </w:tc>
        <w:tc>
          <w:tcPr>
            <w:tcW w:w="1696" w:type="dxa"/>
            <w:noWrap w:val="0"/>
            <w:vAlign w:val="center"/>
          </w:tcPr>
          <w:p>
            <w:pPr>
              <w:spacing w:line="360" w:lineRule="auto"/>
              <w:ind w:left="1" w:right="71" w:rightChars="34"/>
              <w:jc w:val="center"/>
              <w:rPr>
                <w:rFonts w:hint="default"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URS085</w:t>
            </w:r>
          </w:p>
        </w:tc>
        <w:tc>
          <w:tcPr>
            <w:tcW w:w="5805" w:type="dxa"/>
            <w:noWrap w:val="0"/>
            <w:vAlign w:val="center"/>
          </w:tcPr>
          <w:p>
            <w:pPr>
              <w:spacing w:line="360" w:lineRule="exact"/>
              <w:rPr>
                <w:rFonts w:hint="default" w:ascii="宋体" w:hAnsi="宋体" w:eastAsia="宋体"/>
                <w:color w:val="auto"/>
                <w:kern w:val="2"/>
                <w:sz w:val="24"/>
                <w:szCs w:val="24"/>
                <w:lang w:val="en-US" w:eastAsia="zh-CN" w:bidi="ar-SA"/>
              </w:rPr>
            </w:pPr>
            <w:r>
              <w:rPr>
                <w:rFonts w:hint="eastAsia" w:ascii="宋体" w:hAnsi="宋体"/>
                <w:color w:val="auto"/>
                <w:sz w:val="24"/>
                <w:szCs w:val="24"/>
              </w:rPr>
              <w:t>供应商</w:t>
            </w:r>
            <w:r>
              <w:rPr>
                <w:rFonts w:ascii="宋体" w:hAnsi="宋体"/>
                <w:color w:val="auto"/>
                <w:sz w:val="24"/>
                <w:szCs w:val="24"/>
              </w:rPr>
              <w:t>对</w:t>
            </w:r>
            <w:r>
              <w:rPr>
                <w:rFonts w:hint="eastAsia" w:ascii="宋体" w:hAnsi="宋体"/>
                <w:color w:val="auto"/>
                <w:sz w:val="24"/>
                <w:szCs w:val="24"/>
              </w:rPr>
              <w:t>设备终身</w:t>
            </w:r>
            <w:r>
              <w:rPr>
                <w:rFonts w:ascii="宋体" w:hAnsi="宋体"/>
                <w:color w:val="auto"/>
                <w:sz w:val="24"/>
                <w:szCs w:val="24"/>
              </w:rPr>
              <w:t>服务</w:t>
            </w:r>
            <w:r>
              <w:rPr>
                <w:rFonts w:hint="eastAsia" w:ascii="宋体" w:hAnsi="宋体"/>
                <w:color w:val="auto"/>
                <w:sz w:val="24"/>
                <w:szCs w:val="24"/>
              </w:rPr>
              <w:t>。</w:t>
            </w:r>
            <w:r>
              <w:rPr>
                <w:rFonts w:hint="eastAsia" w:ascii="宋体" w:hAnsi="宋体"/>
                <w:color w:val="auto"/>
                <w:sz w:val="24"/>
                <w:szCs w:val="24"/>
                <w:lang w:val="en-US" w:eastAsia="zh-CN"/>
              </w:rPr>
              <w:t>需方需要时提供技术支持。</w:t>
            </w:r>
          </w:p>
        </w:tc>
        <w:tc>
          <w:tcPr>
            <w:tcW w:w="1696" w:type="dxa"/>
            <w:noWrap w:val="0"/>
            <w:vAlign w:val="center"/>
          </w:tcPr>
          <w:p>
            <w:pPr>
              <w:spacing w:line="360" w:lineRule="auto"/>
              <w:ind w:left="1" w:right="71" w:rightChars="34"/>
              <w:jc w:val="center"/>
              <w:rPr>
                <w:rFonts w:hint="default"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URS086</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安装调试时对需方维护人员、操作人员进行培训，培训需达到以下标准：（1）维护人员熟练掌握设备基本原理，具备基本维护能力；（2）操作人员能够熟练操作设备。</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URS087</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设备交付需方使用后，供方每年</w:t>
            </w:r>
            <w:r>
              <w:rPr>
                <w:rFonts w:hint="eastAsia" w:ascii="宋体" w:hAnsi="宋体"/>
                <w:color w:val="auto"/>
                <w:sz w:val="24"/>
                <w:szCs w:val="24"/>
              </w:rPr>
              <w:t>根据需方要求</w:t>
            </w:r>
            <w:r>
              <w:rPr>
                <w:rFonts w:ascii="宋体" w:hAnsi="宋体"/>
                <w:color w:val="auto"/>
                <w:sz w:val="24"/>
                <w:szCs w:val="24"/>
              </w:rPr>
              <w:t>派技术人员进行回访，对设备的使用状况进行了解并对需方可能存在的问题进行帮助解决。</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URS088</w:t>
            </w:r>
          </w:p>
        </w:tc>
        <w:tc>
          <w:tcPr>
            <w:tcW w:w="5805" w:type="dxa"/>
            <w:noWrap w:val="0"/>
            <w:vAlign w:val="center"/>
          </w:tcPr>
          <w:p>
            <w:pPr>
              <w:spacing w:line="360" w:lineRule="exact"/>
              <w:rPr>
                <w:rFonts w:hint="eastAsia" w:ascii="宋体" w:hAnsi="宋体" w:eastAsia="宋体"/>
                <w:color w:val="auto"/>
                <w:sz w:val="24"/>
                <w:szCs w:val="24"/>
                <w:lang w:eastAsia="zh-CN"/>
              </w:rPr>
            </w:pPr>
            <w:r>
              <w:rPr>
                <w:rFonts w:ascii="宋体" w:hAnsi="宋体"/>
                <w:color w:val="auto"/>
                <w:sz w:val="24"/>
                <w:szCs w:val="24"/>
              </w:rPr>
              <w:t>在质保期限内, 合同中所供货物和工作内容在操作规程内出现任何问题, 供应商负责无偿维修或更换</w:t>
            </w:r>
            <w:r>
              <w:rPr>
                <w:rFonts w:hint="eastAsia" w:ascii="宋体" w:hAnsi="宋体"/>
                <w:color w:val="auto"/>
                <w:sz w:val="24"/>
                <w:szCs w:val="24"/>
                <w:lang w:eastAsia="zh-CN"/>
              </w:rPr>
              <w:t>。</w:t>
            </w:r>
          </w:p>
          <w:p>
            <w:pPr>
              <w:spacing w:before="156" w:beforeLines="50" w:after="156" w:afterLines="50"/>
              <w:rPr>
                <w:rFonts w:hint="eastAsia" w:ascii="宋体" w:hAnsi="宋体" w:eastAsia="宋体"/>
                <w:color w:val="auto"/>
                <w:kern w:val="2"/>
                <w:sz w:val="24"/>
                <w:szCs w:val="24"/>
                <w:lang w:val="en-US" w:eastAsia="zh-CN" w:bidi="ar-SA"/>
              </w:rPr>
            </w:pPr>
            <w:r>
              <w:rPr>
                <w:rFonts w:ascii="宋体" w:hAnsi="宋体"/>
                <w:color w:val="auto"/>
                <w:sz w:val="24"/>
                <w:szCs w:val="24"/>
              </w:rPr>
              <w:t>供应商要在投标文件中说明其技术承诺和售后服务的方法和方式。</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URS089</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供应商需提供至少三年的维护保养及易损件更换方案，且方案要求需满足接收方文件资料规程要求</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URS090</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提供24小时服务应</w:t>
            </w:r>
            <w:r>
              <w:rPr>
                <w:rFonts w:hint="eastAsia" w:ascii="宋体" w:hAnsi="宋体"/>
                <w:color w:val="auto"/>
                <w:sz w:val="24"/>
                <w:szCs w:val="24"/>
              </w:rPr>
              <w:t>答，2</w:t>
            </w:r>
            <w:r>
              <w:rPr>
                <w:rFonts w:ascii="宋体" w:hAnsi="宋体"/>
                <w:color w:val="auto"/>
                <w:sz w:val="24"/>
                <w:szCs w:val="24"/>
              </w:rPr>
              <w:t>小时内先以电话或电子邮件形式进行服务应答，维修人员到现场12小时内，修复开机或提交设备维修</w:t>
            </w:r>
            <w:r>
              <w:rPr>
                <w:rFonts w:hint="eastAsia" w:ascii="宋体" w:hAnsi="宋体"/>
                <w:color w:val="auto"/>
                <w:sz w:val="24"/>
                <w:szCs w:val="24"/>
                <w:lang w:val="en-US" w:eastAsia="zh-CN"/>
              </w:rPr>
              <w:t>方案</w:t>
            </w:r>
            <w:r>
              <w:rPr>
                <w:rFonts w:ascii="宋体" w:hAnsi="宋体"/>
                <w:color w:val="auto"/>
                <w:sz w:val="24"/>
                <w:szCs w:val="24"/>
              </w:rPr>
              <w:t>，提供不间断的服务直到</w:t>
            </w:r>
            <w:r>
              <w:rPr>
                <w:rFonts w:hint="eastAsia" w:ascii="宋体" w:hAnsi="宋体"/>
                <w:color w:val="auto"/>
                <w:sz w:val="24"/>
                <w:szCs w:val="24"/>
                <w:lang w:val="en-US" w:eastAsia="zh-CN"/>
              </w:rPr>
              <w:t>设备正常运行并提供设备维修报告</w:t>
            </w:r>
            <w:r>
              <w:rPr>
                <w:rFonts w:ascii="宋体" w:hAnsi="宋体"/>
                <w:color w:val="auto"/>
                <w:sz w:val="24"/>
                <w:szCs w:val="24"/>
              </w:rPr>
              <w:t>。</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0" w:type="auto"/>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URS091</w:t>
            </w:r>
          </w:p>
        </w:tc>
        <w:tc>
          <w:tcPr>
            <w:tcW w:w="0" w:type="auto"/>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备件供应：供应商确保有足够的备件、附件和易损件满足设备正常运行需要，并提供可满足</w:t>
            </w:r>
            <w:r>
              <w:rPr>
                <w:rFonts w:hint="eastAsia" w:ascii="宋体" w:hAnsi="宋体"/>
                <w:color w:val="auto"/>
                <w:sz w:val="24"/>
                <w:szCs w:val="24"/>
                <w:lang w:val="en-US" w:eastAsia="zh-CN"/>
              </w:rPr>
              <w:t>三</w:t>
            </w:r>
            <w:r>
              <w:rPr>
                <w:rFonts w:ascii="宋体" w:hAnsi="宋体"/>
                <w:color w:val="auto"/>
                <w:sz w:val="24"/>
                <w:szCs w:val="24"/>
              </w:rPr>
              <w:t>年设备运行需要的易损零部件及零部件清单。在设备使用寿命内，供应商应保证设备零配件的供应，并提供优惠供应的承诺。</w:t>
            </w:r>
          </w:p>
        </w:tc>
        <w:tc>
          <w:tcPr>
            <w:tcW w:w="0" w:type="auto"/>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期望</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spacing w:line="480" w:lineRule="auto"/>
        <w:ind w:leftChars="0" w:right="0" w:rightChars="0"/>
        <w:jc w:val="left"/>
        <w:textAlignment w:val="top"/>
        <w:outlineLvl w:val="0"/>
        <w:rPr>
          <w:rFonts w:hint="default"/>
          <w:b/>
          <w:color w:val="auto"/>
          <w:kern w:val="0"/>
          <w:sz w:val="24"/>
          <w:szCs w:val="24"/>
          <w:lang w:val="en-US" w:eastAsia="zh-CN"/>
        </w:rPr>
      </w:pPr>
      <w:bookmarkStart w:id="15" w:name="_Toc18272"/>
      <w:r>
        <w:rPr>
          <w:rFonts w:hint="eastAsia"/>
          <w:b/>
          <w:color w:val="auto"/>
          <w:kern w:val="0"/>
          <w:sz w:val="24"/>
          <w:szCs w:val="24"/>
          <w:lang w:val="en-US" w:eastAsia="zh-CN"/>
        </w:rPr>
        <w:t>4.14装卸运输要求</w:t>
      </w:r>
      <w:bookmarkEnd w:id="15"/>
    </w:p>
    <w:tbl>
      <w:tblPr>
        <w:tblStyle w:val="11"/>
        <w:tblW w:w="9296"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5" w:hRule="atLeast"/>
          <w:tblHeader/>
        </w:trPr>
        <w:tc>
          <w:tcPr>
            <w:tcW w:w="179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center"/>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URS092</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包装满足运输和装卸要求，防潮湿、防磕碰、防振动，由于包装不良而造成的任何锈损，</w:t>
            </w:r>
            <w:r>
              <w:rPr>
                <w:rFonts w:hint="eastAsia" w:ascii="宋体" w:hAnsi="宋体"/>
                <w:color w:val="auto"/>
                <w:sz w:val="24"/>
                <w:szCs w:val="24"/>
                <w:lang w:val="en-US" w:eastAsia="zh-CN"/>
              </w:rPr>
              <w:t>运输途中导致的设备损坏，</w:t>
            </w:r>
            <w:r>
              <w:rPr>
                <w:rFonts w:hint="eastAsia" w:ascii="宋体" w:hAnsi="宋体"/>
                <w:color w:val="auto"/>
                <w:sz w:val="24"/>
                <w:szCs w:val="24"/>
              </w:rPr>
              <w:t>供应商承担全部损失和费用</w:t>
            </w:r>
            <w:r>
              <w:rPr>
                <w:rFonts w:hint="eastAsia" w:ascii="宋体" w:hAnsi="宋体"/>
                <w:color w:val="auto"/>
                <w:sz w:val="24"/>
                <w:szCs w:val="24"/>
                <w:lang w:eastAsia="zh-CN"/>
              </w:rPr>
              <w:t>。</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URS093</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要求将设备固定于有足够强度的木质支撑平台上，整个支撑</w:t>
            </w:r>
            <w:r>
              <w:rPr>
                <w:rFonts w:ascii="宋体" w:hAnsi="宋体"/>
                <w:color w:val="auto"/>
                <w:sz w:val="24"/>
                <w:szCs w:val="24"/>
              </w:rPr>
              <w:t>平台由</w:t>
            </w:r>
            <w:r>
              <w:rPr>
                <w:rFonts w:hint="eastAsia" w:ascii="宋体" w:hAnsi="宋体"/>
                <w:color w:val="auto"/>
                <w:sz w:val="24"/>
                <w:szCs w:val="24"/>
              </w:rPr>
              <w:t>木质框架结构和周围</w:t>
            </w:r>
            <w:r>
              <w:rPr>
                <w:rFonts w:ascii="宋体" w:hAnsi="宋体"/>
                <w:color w:val="auto"/>
                <w:sz w:val="24"/>
                <w:szCs w:val="24"/>
              </w:rPr>
              <w:t>木板覆盖</w:t>
            </w:r>
            <w:r>
              <w:rPr>
                <w:rFonts w:hint="eastAsia" w:ascii="宋体" w:hAnsi="宋体"/>
                <w:color w:val="auto"/>
                <w:sz w:val="24"/>
                <w:szCs w:val="24"/>
              </w:rPr>
              <w:t>，避免</w:t>
            </w:r>
            <w:r>
              <w:rPr>
                <w:rFonts w:ascii="宋体" w:hAnsi="宋体"/>
                <w:color w:val="auto"/>
                <w:sz w:val="24"/>
                <w:szCs w:val="24"/>
              </w:rPr>
              <w:t>装卸及运输过程中的</w:t>
            </w:r>
            <w:r>
              <w:rPr>
                <w:rFonts w:hint="eastAsia" w:ascii="宋体" w:hAnsi="宋体"/>
                <w:color w:val="auto"/>
                <w:sz w:val="24"/>
                <w:szCs w:val="24"/>
              </w:rPr>
              <w:t>碰</w:t>
            </w:r>
            <w:r>
              <w:rPr>
                <w:rFonts w:ascii="宋体" w:hAnsi="宋体"/>
                <w:color w:val="auto"/>
                <w:sz w:val="24"/>
                <w:szCs w:val="24"/>
              </w:rPr>
              <w:t>撞。</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URS094</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在设备的外包装上，</w:t>
            </w:r>
            <w:r>
              <w:rPr>
                <w:rFonts w:hint="eastAsia" w:ascii="宋体" w:hAnsi="宋体"/>
                <w:color w:val="auto"/>
                <w:sz w:val="24"/>
                <w:szCs w:val="24"/>
                <w:lang w:eastAsia="zh-CN"/>
              </w:rPr>
              <w:t>必需</w:t>
            </w:r>
            <w:r>
              <w:rPr>
                <w:rFonts w:hint="eastAsia" w:ascii="宋体" w:hAnsi="宋体"/>
                <w:color w:val="auto"/>
                <w:sz w:val="24"/>
                <w:szCs w:val="24"/>
              </w:rPr>
              <w:t>明确设备的垂直及水平运输受力位置，方式，重心，允许的倾斜度，设备总质量，总体积，尺寸。</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URS095</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供方负责运输（包括设备下货），并承担运输费用。</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URS096</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设备到货清单</w:t>
            </w:r>
            <w:r>
              <w:rPr>
                <w:rFonts w:hint="eastAsia" w:ascii="宋体" w:hAnsi="宋体"/>
                <w:color w:val="auto"/>
                <w:sz w:val="24"/>
                <w:szCs w:val="24"/>
                <w:lang w:eastAsia="zh-CN"/>
              </w:rPr>
              <w:t>必需</w:t>
            </w:r>
            <w:r>
              <w:rPr>
                <w:rFonts w:hint="eastAsia" w:ascii="宋体" w:hAnsi="宋体"/>
                <w:color w:val="auto"/>
                <w:sz w:val="24"/>
                <w:szCs w:val="24"/>
              </w:rPr>
              <w:t>详列每装箱内容物。</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jc w:val="left"/>
        <w:textAlignment w:val="top"/>
        <w:outlineLvl w:val="0"/>
        <w:rPr>
          <w:rFonts w:hint="default"/>
          <w:b/>
          <w:color w:val="auto"/>
          <w:kern w:val="0"/>
          <w:sz w:val="24"/>
          <w:szCs w:val="24"/>
          <w:lang w:val="en-US" w:eastAsia="zh-CN"/>
        </w:rPr>
      </w:pPr>
      <w:bookmarkStart w:id="16" w:name="_Toc23204"/>
      <w:r>
        <w:rPr>
          <w:rFonts w:hint="eastAsia"/>
          <w:b/>
          <w:color w:val="auto"/>
          <w:kern w:val="0"/>
          <w:sz w:val="24"/>
          <w:szCs w:val="24"/>
          <w:lang w:val="en-US" w:eastAsia="zh-CN"/>
        </w:rPr>
        <w:t>4.15安装及调试要求</w:t>
      </w:r>
      <w:bookmarkEnd w:id="16"/>
    </w:p>
    <w:tbl>
      <w:tblPr>
        <w:tblStyle w:val="11"/>
        <w:tblW w:w="9296"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385" w:hRule="atLeast"/>
          <w:tblHeader/>
        </w:trPr>
        <w:tc>
          <w:tcPr>
            <w:tcW w:w="179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top"/>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1795" w:type="dxa"/>
            <w:tcBorders>
              <w:top w:val="double" w:color="auto" w:sz="4" w:space="0"/>
            </w:tcBorders>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URS097</w:t>
            </w:r>
          </w:p>
        </w:tc>
        <w:tc>
          <w:tcPr>
            <w:tcW w:w="5805" w:type="dxa"/>
            <w:tcBorders>
              <w:top w:val="double" w:color="auto" w:sz="4" w:space="0"/>
            </w:tcBorders>
            <w:noWrap w:val="0"/>
            <w:vAlign w:val="center"/>
          </w:tcPr>
          <w:p>
            <w:pPr>
              <w:spacing w:line="360" w:lineRule="exact"/>
              <w:rPr>
                <w:rFonts w:hint="default" w:ascii="宋体" w:hAnsi="宋体" w:eastAsia="宋体"/>
                <w:color w:val="auto"/>
                <w:kern w:val="2"/>
                <w:sz w:val="24"/>
                <w:szCs w:val="24"/>
                <w:lang w:val="en-US" w:eastAsia="zh-CN" w:bidi="ar-SA"/>
              </w:rPr>
            </w:pPr>
            <w:r>
              <w:rPr>
                <w:rFonts w:hint="eastAsia" w:ascii="宋体" w:hAnsi="宋体"/>
                <w:color w:val="auto"/>
                <w:sz w:val="24"/>
                <w:szCs w:val="24"/>
              </w:rPr>
              <w:t>设备到货，需方通知供应商来厂安装日期起，应在</w:t>
            </w:r>
            <w:r>
              <w:rPr>
                <w:rFonts w:ascii="宋体" w:hAnsi="宋体"/>
                <w:color w:val="auto"/>
                <w:sz w:val="24"/>
                <w:szCs w:val="24"/>
              </w:rPr>
              <w:t>10</w:t>
            </w:r>
            <w:r>
              <w:rPr>
                <w:rFonts w:hint="eastAsia" w:ascii="宋体" w:hAnsi="宋体"/>
                <w:color w:val="auto"/>
                <w:sz w:val="24"/>
                <w:szCs w:val="24"/>
              </w:rPr>
              <w:t>日内完成安装，试车。</w:t>
            </w:r>
            <w:r>
              <w:rPr>
                <w:rFonts w:hint="eastAsia" w:ascii="宋体" w:hAnsi="宋体"/>
                <w:color w:val="auto"/>
                <w:sz w:val="24"/>
                <w:szCs w:val="24"/>
                <w:lang w:val="en-US" w:eastAsia="zh-CN"/>
              </w:rPr>
              <w:t>调试完成后，稳定运行60天无故障，如有故障应在4小时内完成维修，如在规定时间内无法解决，由供方赔偿购买方的经济损失。</w:t>
            </w:r>
          </w:p>
        </w:tc>
        <w:tc>
          <w:tcPr>
            <w:tcW w:w="1696" w:type="dxa"/>
            <w:tcBorders>
              <w:top w:val="double" w:color="auto" w:sz="4" w:space="0"/>
            </w:tcBorders>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URS098</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空压机、冷干机、吸干机</w:t>
            </w:r>
            <w:r>
              <w:rPr>
                <w:rFonts w:hint="eastAsia" w:ascii="宋体" w:hAnsi="宋体"/>
                <w:color w:val="auto"/>
                <w:sz w:val="24"/>
                <w:szCs w:val="24"/>
                <w:lang w:eastAsia="zh-CN"/>
              </w:rPr>
              <w:t>、</w:t>
            </w:r>
            <w:r>
              <w:rPr>
                <w:rFonts w:hint="eastAsia" w:ascii="宋体" w:hAnsi="宋体"/>
                <w:color w:val="auto"/>
                <w:sz w:val="24"/>
                <w:szCs w:val="24"/>
                <w:lang w:val="en-US" w:eastAsia="zh-CN"/>
              </w:rPr>
              <w:t>过滤器</w:t>
            </w:r>
            <w:r>
              <w:rPr>
                <w:rFonts w:hint="eastAsia" w:ascii="宋体" w:hAnsi="宋体"/>
                <w:color w:val="auto"/>
                <w:sz w:val="24"/>
                <w:szCs w:val="24"/>
              </w:rPr>
              <w:t>及储罐之间的管道、阀门由设备供货方安装。</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URS099</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提供整套设备及其所涉及到的就位、安装、配接、调试、自控调试、验证、售后服务。</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URS100</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甲方只提供压缩空气预留的出气接口，提供三相380V总开关电源，提供配电房配电柜、电缆以及接头；空压机端、后处理接线在调试时由供应商完成</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URS101</w:t>
            </w:r>
          </w:p>
        </w:tc>
        <w:tc>
          <w:tcPr>
            <w:tcW w:w="5805" w:type="dxa"/>
            <w:noWrap w:val="0"/>
            <w:vAlign w:val="center"/>
          </w:tcPr>
          <w:p>
            <w:pPr>
              <w:spacing w:line="360" w:lineRule="exact"/>
              <w:rPr>
                <w:rFonts w:hint="default" w:ascii="宋体" w:hAnsi="宋体" w:eastAsia="宋体"/>
                <w:color w:val="auto"/>
                <w:kern w:val="2"/>
                <w:sz w:val="24"/>
                <w:szCs w:val="24"/>
                <w:lang w:val="en-US" w:eastAsia="zh-CN" w:bidi="ar-SA"/>
              </w:rPr>
            </w:pPr>
            <w:r>
              <w:rPr>
                <w:rFonts w:hint="eastAsia" w:ascii="宋体" w:hAnsi="宋体"/>
                <w:color w:val="auto"/>
                <w:kern w:val="2"/>
                <w:sz w:val="24"/>
                <w:szCs w:val="24"/>
                <w:lang w:val="en-US" w:eastAsia="zh-CN" w:bidi="ar-SA"/>
              </w:rPr>
              <w:t>供方人员协助购买方报检，办理注册登记</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URS102</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现场装配调试人员</w:t>
            </w:r>
            <w:r>
              <w:rPr>
                <w:rFonts w:hint="eastAsia" w:ascii="宋体" w:hAnsi="宋体"/>
                <w:color w:val="auto"/>
                <w:sz w:val="24"/>
                <w:szCs w:val="24"/>
                <w:lang w:eastAsia="zh-CN"/>
              </w:rPr>
              <w:t>必需</w:t>
            </w:r>
            <w:r>
              <w:rPr>
                <w:rFonts w:hint="eastAsia" w:ascii="宋体" w:hAnsi="宋体"/>
                <w:color w:val="auto"/>
                <w:sz w:val="24"/>
                <w:szCs w:val="24"/>
              </w:rPr>
              <w:t>服从厂区的管理制度及工作作息时间。</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URS103</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现场装配调试前</w:t>
            </w:r>
            <w:r>
              <w:rPr>
                <w:rFonts w:hint="eastAsia" w:ascii="宋体" w:hAnsi="宋体"/>
                <w:color w:val="auto"/>
                <w:sz w:val="24"/>
                <w:szCs w:val="24"/>
                <w:lang w:eastAsia="zh-CN"/>
              </w:rPr>
              <w:t>必需</w:t>
            </w:r>
            <w:r>
              <w:rPr>
                <w:rFonts w:hint="eastAsia" w:ascii="宋体" w:hAnsi="宋体"/>
                <w:color w:val="auto"/>
                <w:sz w:val="24"/>
                <w:szCs w:val="24"/>
              </w:rPr>
              <w:t>了解现场的条件，安排好调试计划。</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URS104</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考虑未来系统的配接、兼容，并考虑用气的特点提供优化后的运行方案。</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URS105</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试车零件更换等寄送费用，由供应商负责。</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jc w:val="left"/>
        <w:textAlignment w:val="top"/>
        <w:outlineLvl w:val="0"/>
        <w:rPr>
          <w:rFonts w:hint="default"/>
          <w:b/>
          <w:color w:val="auto"/>
          <w:kern w:val="0"/>
          <w:sz w:val="24"/>
          <w:szCs w:val="24"/>
          <w:lang w:val="en-US" w:eastAsia="zh-CN"/>
        </w:rPr>
      </w:pPr>
      <w:bookmarkStart w:id="17" w:name="_Toc16573"/>
      <w:r>
        <w:rPr>
          <w:rFonts w:hint="eastAsia"/>
          <w:b/>
          <w:color w:val="auto"/>
          <w:kern w:val="0"/>
          <w:sz w:val="24"/>
          <w:szCs w:val="24"/>
          <w:lang w:val="en-US" w:eastAsia="zh-CN"/>
        </w:rPr>
        <w:t>4.16验收交货要求</w:t>
      </w:r>
      <w:bookmarkEnd w:id="17"/>
    </w:p>
    <w:tbl>
      <w:tblPr>
        <w:tblStyle w:val="11"/>
        <w:tblW w:w="9296"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5" w:hRule="atLeast"/>
          <w:tblHeader/>
        </w:trPr>
        <w:tc>
          <w:tcPr>
            <w:tcW w:w="179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top"/>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top"/>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1795" w:type="dxa"/>
            <w:tcBorders>
              <w:top w:val="double" w:color="auto" w:sz="4" w:space="0"/>
            </w:tcBorders>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URS106</w:t>
            </w:r>
          </w:p>
        </w:tc>
        <w:tc>
          <w:tcPr>
            <w:tcW w:w="5805" w:type="dxa"/>
            <w:tcBorders>
              <w:top w:val="double" w:color="auto" w:sz="4" w:space="0"/>
            </w:tcBorders>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供应商应当在签定合同</w:t>
            </w:r>
            <w:r>
              <w:rPr>
                <w:color w:val="auto"/>
                <w:sz w:val="24"/>
                <w:szCs w:val="24"/>
              </w:rPr>
              <w:t>后</w:t>
            </w:r>
            <w:r>
              <w:rPr>
                <w:rFonts w:hint="eastAsia"/>
                <w:color w:val="auto"/>
                <w:sz w:val="24"/>
                <w:szCs w:val="24"/>
                <w:lang w:val="en-US" w:eastAsia="zh-CN"/>
              </w:rPr>
              <w:t>90</w:t>
            </w:r>
            <w:r>
              <w:rPr>
                <w:rFonts w:hint="eastAsia"/>
                <w:color w:val="auto"/>
                <w:sz w:val="24"/>
                <w:szCs w:val="24"/>
              </w:rPr>
              <w:t>天内</w:t>
            </w:r>
            <w:r>
              <w:rPr>
                <w:rFonts w:hint="eastAsia" w:ascii="宋体" w:hAnsi="宋体"/>
                <w:color w:val="auto"/>
                <w:sz w:val="24"/>
                <w:szCs w:val="24"/>
              </w:rPr>
              <w:t>设备具备交货条件。</w:t>
            </w:r>
          </w:p>
        </w:tc>
        <w:tc>
          <w:tcPr>
            <w:tcW w:w="1696" w:type="dxa"/>
            <w:tcBorders>
              <w:top w:val="double" w:color="auto" w:sz="4" w:space="0"/>
            </w:tcBorders>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URS107</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供应商应当在接到发货通知所指定的日期将设备运抵公司，并约时间双方共同开箱验收。</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URS108</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生产厂家</w:t>
            </w:r>
            <w:r>
              <w:rPr>
                <w:rFonts w:hint="eastAsia" w:ascii="宋体" w:hAnsi="宋体"/>
                <w:color w:val="auto"/>
                <w:sz w:val="24"/>
                <w:szCs w:val="24"/>
                <w:lang w:eastAsia="zh-CN"/>
              </w:rPr>
              <w:t>必需</w:t>
            </w:r>
            <w:r>
              <w:rPr>
                <w:rFonts w:ascii="宋体" w:hAnsi="宋体"/>
                <w:color w:val="auto"/>
                <w:sz w:val="24"/>
                <w:szCs w:val="24"/>
              </w:rPr>
              <w:t>提供设备安装指导，并</w:t>
            </w:r>
            <w:r>
              <w:rPr>
                <w:rFonts w:hint="eastAsia" w:ascii="宋体" w:hAnsi="宋体"/>
                <w:color w:val="auto"/>
                <w:sz w:val="24"/>
                <w:szCs w:val="24"/>
                <w:lang w:val="en-US" w:eastAsia="zh-CN"/>
              </w:rPr>
              <w:t>由</w:t>
            </w:r>
            <w:r>
              <w:rPr>
                <w:rFonts w:ascii="宋体" w:hAnsi="宋体"/>
                <w:color w:val="auto"/>
                <w:sz w:val="24"/>
                <w:szCs w:val="24"/>
              </w:rPr>
              <w:t>供应商</w:t>
            </w:r>
            <w:r>
              <w:rPr>
                <w:rFonts w:hint="eastAsia" w:ascii="宋体" w:hAnsi="宋体"/>
                <w:color w:val="auto"/>
                <w:sz w:val="24"/>
                <w:szCs w:val="24"/>
                <w:lang w:val="en-US" w:eastAsia="zh-CN"/>
              </w:rPr>
              <w:t>提供</w:t>
            </w:r>
            <w:r>
              <w:rPr>
                <w:rFonts w:ascii="宋体" w:hAnsi="宋体"/>
                <w:color w:val="auto"/>
                <w:sz w:val="24"/>
                <w:szCs w:val="24"/>
              </w:rPr>
              <w:t>系统安装。</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URS109</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设备到货拆箱时供应商</w:t>
            </w:r>
            <w:r>
              <w:rPr>
                <w:rFonts w:hint="eastAsia" w:ascii="宋体" w:hAnsi="宋体"/>
                <w:color w:val="auto"/>
                <w:sz w:val="24"/>
                <w:szCs w:val="24"/>
                <w:lang w:eastAsia="zh-CN"/>
              </w:rPr>
              <w:t>必需</w:t>
            </w:r>
            <w:r>
              <w:rPr>
                <w:rFonts w:hint="eastAsia" w:ascii="宋体" w:hAnsi="宋体"/>
                <w:color w:val="auto"/>
                <w:sz w:val="24"/>
                <w:szCs w:val="24"/>
              </w:rPr>
              <w:t>陪同现场人员进行拆箱，如供应商授权我方自行拆箱，拆箱后如发现设备及期附件有任何损坏、缺少，供货商承担全部责任。</w:t>
            </w:r>
          </w:p>
        </w:tc>
        <w:tc>
          <w:tcPr>
            <w:tcW w:w="1696" w:type="dxa"/>
            <w:noWrap w:val="0"/>
            <w:vAlign w:val="center"/>
          </w:tcPr>
          <w:p>
            <w:pPr>
              <w:spacing w:line="360" w:lineRule="auto"/>
              <w:ind w:left="1" w:right="71" w:rightChars="34"/>
              <w:jc w:val="center"/>
              <w:rPr>
                <w:rFonts w:hint="eastAsia" w:ascii="宋体" w:hAnsi="宋体" w:cs="Arial"/>
                <w:color w:val="auto"/>
                <w:sz w:val="24"/>
                <w:szCs w:val="24"/>
              </w:rPr>
            </w:pPr>
            <w:r>
              <w:rPr>
                <w:rFonts w:hint="eastAsia" w:ascii="宋体" w:hAnsi="宋体" w:cs="Arial"/>
                <w:color w:val="auto"/>
                <w:sz w:val="24"/>
                <w:szCs w:val="24"/>
                <w:lang w:val="en-US" w:eastAsia="zh-CN"/>
              </w:rPr>
              <w:t>必需</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jc w:val="left"/>
        <w:textAlignment w:val="top"/>
        <w:outlineLvl w:val="0"/>
        <w:rPr>
          <w:rFonts w:hint="default"/>
          <w:b/>
          <w:color w:val="auto"/>
          <w:kern w:val="0"/>
          <w:sz w:val="24"/>
          <w:szCs w:val="24"/>
          <w:lang w:val="en-US" w:eastAsia="zh-CN"/>
        </w:rPr>
      </w:pPr>
      <w:bookmarkStart w:id="18" w:name="_Toc18742"/>
      <w:r>
        <w:rPr>
          <w:rFonts w:hint="eastAsia"/>
          <w:b/>
          <w:color w:val="auto"/>
          <w:kern w:val="0"/>
          <w:sz w:val="24"/>
          <w:szCs w:val="24"/>
          <w:lang w:val="en-US" w:eastAsia="zh-CN"/>
        </w:rPr>
        <w:t>4.17变更管理</w:t>
      </w:r>
      <w:bookmarkEnd w:id="18"/>
    </w:p>
    <w:tbl>
      <w:tblPr>
        <w:tblStyle w:val="11"/>
        <w:tblW w:w="9296"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5" w:hRule="atLeast"/>
          <w:tblHeader/>
        </w:trPr>
        <w:tc>
          <w:tcPr>
            <w:tcW w:w="179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center"/>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1795" w:type="dxa"/>
            <w:tcBorders>
              <w:top w:val="double" w:color="auto" w:sz="4" w:space="0"/>
            </w:tcBorders>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URS110</w:t>
            </w:r>
          </w:p>
        </w:tc>
        <w:tc>
          <w:tcPr>
            <w:tcW w:w="5805" w:type="dxa"/>
            <w:tcBorders>
              <w:top w:val="double" w:color="auto" w:sz="4" w:space="0"/>
            </w:tcBorders>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对所有</w:t>
            </w:r>
            <w:r>
              <w:rPr>
                <w:rFonts w:ascii="宋体" w:hAnsi="宋体"/>
                <w:color w:val="auto"/>
                <w:sz w:val="24"/>
                <w:szCs w:val="24"/>
              </w:rPr>
              <w:t>变更，</w:t>
            </w:r>
            <w:r>
              <w:rPr>
                <w:rFonts w:hint="eastAsia" w:ascii="宋体" w:hAnsi="宋体"/>
                <w:color w:val="auto"/>
                <w:sz w:val="24"/>
                <w:szCs w:val="24"/>
              </w:rPr>
              <w:t>设计方应及时地、全面地进行记录，并评估变更影响。</w:t>
            </w:r>
          </w:p>
        </w:tc>
        <w:tc>
          <w:tcPr>
            <w:tcW w:w="1696" w:type="dxa"/>
            <w:tcBorders>
              <w:top w:val="double" w:color="auto" w:sz="4" w:space="0"/>
            </w:tcBorders>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URS111</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项目中的所有变更都应经</w:t>
            </w:r>
            <w:r>
              <w:rPr>
                <w:rFonts w:hint="eastAsia" w:ascii="宋体" w:hAnsi="宋体"/>
                <w:color w:val="auto"/>
                <w:sz w:val="24"/>
                <w:szCs w:val="24"/>
              </w:rPr>
              <w:t>买方</w:t>
            </w:r>
            <w:r>
              <w:rPr>
                <w:rFonts w:ascii="宋体" w:hAnsi="宋体"/>
                <w:color w:val="auto"/>
                <w:sz w:val="24"/>
                <w:szCs w:val="24"/>
              </w:rPr>
              <w:t>批准</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0" w:type="auto"/>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URS112</w:t>
            </w:r>
          </w:p>
        </w:tc>
        <w:tc>
          <w:tcPr>
            <w:tcW w:w="0" w:type="auto"/>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rPr>
              <w:t>URS未提及或报价中未提及但</w:t>
            </w:r>
            <w:r>
              <w:rPr>
                <w:rFonts w:hint="eastAsia" w:ascii="宋体" w:hAnsi="宋体"/>
                <w:color w:val="auto"/>
                <w:sz w:val="24"/>
                <w:szCs w:val="24"/>
                <w:lang w:eastAsia="zh-CN"/>
              </w:rPr>
              <w:t>必需</w:t>
            </w:r>
            <w:r>
              <w:rPr>
                <w:rFonts w:hint="eastAsia" w:ascii="宋体" w:hAnsi="宋体"/>
                <w:color w:val="auto"/>
                <w:sz w:val="24"/>
                <w:szCs w:val="24"/>
              </w:rPr>
              <w:t>要满足基本功能要求。</w:t>
            </w:r>
          </w:p>
        </w:tc>
        <w:tc>
          <w:tcPr>
            <w:tcW w:w="0" w:type="auto"/>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jc w:val="left"/>
        <w:textAlignment w:val="top"/>
        <w:outlineLvl w:val="0"/>
        <w:rPr>
          <w:rFonts w:hint="default"/>
          <w:b/>
          <w:color w:val="auto"/>
          <w:kern w:val="0"/>
          <w:sz w:val="24"/>
          <w:szCs w:val="24"/>
          <w:lang w:val="en-US" w:eastAsia="zh-CN"/>
        </w:rPr>
      </w:pPr>
      <w:bookmarkStart w:id="19" w:name="_Toc28718"/>
      <w:r>
        <w:rPr>
          <w:rFonts w:hint="eastAsia"/>
          <w:b/>
          <w:color w:val="auto"/>
          <w:kern w:val="0"/>
          <w:sz w:val="24"/>
          <w:szCs w:val="24"/>
          <w:lang w:val="en-US" w:eastAsia="zh-CN"/>
        </w:rPr>
        <w:t>4.18其他</w:t>
      </w:r>
      <w:bookmarkEnd w:id="19"/>
    </w:p>
    <w:tbl>
      <w:tblPr>
        <w:tblStyle w:val="11"/>
        <w:tblW w:w="9296"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795"/>
        <w:gridCol w:w="5805"/>
        <w:gridCol w:w="169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85" w:hRule="atLeast"/>
          <w:tblHeader/>
        </w:trPr>
        <w:tc>
          <w:tcPr>
            <w:tcW w:w="179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cs="Arial"/>
                <w:b/>
                <w:bCs/>
                <w:color w:val="auto"/>
                <w:sz w:val="24"/>
                <w:szCs w:val="24"/>
              </w:rPr>
            </w:pPr>
            <w:r>
              <w:rPr>
                <w:rFonts w:hint="eastAsia" w:ascii="宋体" w:hAnsi="宋体" w:cs="Arial"/>
                <w:b/>
                <w:bCs/>
                <w:color w:val="auto"/>
                <w:sz w:val="24"/>
                <w:szCs w:val="24"/>
              </w:rPr>
              <w:t>编号</w:t>
            </w:r>
          </w:p>
        </w:tc>
        <w:tc>
          <w:tcPr>
            <w:tcW w:w="5805" w:type="dxa"/>
            <w:tcBorders>
              <w:top w:val="single" w:color="auto" w:sz="8" w:space="0"/>
              <w:bottom w:val="double" w:color="auto" w:sz="4" w:space="0"/>
            </w:tcBorders>
            <w:shd w:val="clear" w:color="auto" w:fill="E0E0E0"/>
            <w:noWrap w:val="0"/>
            <w:vAlign w:val="center"/>
          </w:tcPr>
          <w:p>
            <w:pPr>
              <w:spacing w:before="120" w:after="120"/>
              <w:jc w:val="center"/>
              <w:rPr>
                <w:rFonts w:hint="eastAsia" w:ascii="宋体" w:hAnsi="宋体" w:eastAsia="宋体" w:cs="Arial"/>
                <w:b/>
                <w:bCs/>
                <w:color w:val="auto"/>
                <w:sz w:val="24"/>
                <w:szCs w:val="24"/>
                <w:lang w:eastAsia="zh-CN"/>
              </w:rPr>
            </w:pPr>
            <w:r>
              <w:rPr>
                <w:rFonts w:hint="eastAsia" w:ascii="宋体" w:hAnsi="宋体" w:cs="Arial"/>
                <w:b/>
                <w:bCs/>
                <w:color w:val="auto"/>
                <w:sz w:val="24"/>
                <w:szCs w:val="24"/>
                <w:lang w:eastAsia="zh-CN"/>
              </w:rPr>
              <w:t>需求内容</w:t>
            </w:r>
          </w:p>
        </w:tc>
        <w:tc>
          <w:tcPr>
            <w:tcW w:w="1696" w:type="dxa"/>
            <w:tcBorders>
              <w:top w:val="single" w:color="auto" w:sz="8" w:space="0"/>
              <w:bottom w:val="double" w:color="auto" w:sz="4" w:space="0"/>
            </w:tcBorders>
            <w:shd w:val="clear" w:color="auto" w:fill="E0E0E0"/>
            <w:noWrap w:val="0"/>
            <w:vAlign w:val="center"/>
          </w:tcPr>
          <w:p>
            <w:pPr>
              <w:spacing w:before="120" w:after="120"/>
              <w:ind w:right="-107" w:rightChars="-51"/>
              <w:jc w:val="center"/>
              <w:rPr>
                <w:rFonts w:hint="eastAsia" w:ascii="宋体" w:hAnsi="宋体" w:cs="Arial"/>
                <w:b/>
                <w:bCs/>
                <w:color w:val="auto"/>
                <w:sz w:val="24"/>
                <w:szCs w:val="24"/>
              </w:rPr>
            </w:pPr>
            <w:r>
              <w:rPr>
                <w:rFonts w:hint="eastAsia" w:ascii="宋体" w:hAnsi="宋体"/>
                <w:b/>
                <w:color w:val="auto"/>
                <w:sz w:val="24"/>
                <w:szCs w:val="24"/>
              </w:rPr>
              <w:t>必需</w:t>
            </w:r>
            <w:r>
              <w:rPr>
                <w:rFonts w:hint="eastAsia" w:ascii="宋体" w:hAnsi="宋体"/>
                <w:b/>
                <w:color w:val="auto"/>
                <w:sz w:val="24"/>
                <w:szCs w:val="24"/>
                <w:lang w:val="en-US" w:eastAsia="zh-CN"/>
              </w:rPr>
              <w:t>/</w:t>
            </w:r>
            <w:r>
              <w:rPr>
                <w:rFonts w:hint="eastAsia" w:ascii="宋体" w:hAnsi="宋体"/>
                <w:b/>
                <w:color w:val="auto"/>
                <w:sz w:val="24"/>
                <w:szCs w:val="24"/>
              </w:rPr>
              <w:t>期望</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5" w:hRule="atLeast"/>
        </w:trPr>
        <w:tc>
          <w:tcPr>
            <w:tcW w:w="1795" w:type="dxa"/>
            <w:tcBorders>
              <w:top w:val="double" w:color="auto" w:sz="4" w:space="0"/>
            </w:tcBorders>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URS113</w:t>
            </w:r>
          </w:p>
        </w:tc>
        <w:tc>
          <w:tcPr>
            <w:tcW w:w="5805" w:type="dxa"/>
            <w:tcBorders>
              <w:top w:val="double" w:color="auto" w:sz="4" w:space="0"/>
            </w:tcBorders>
            <w:noWrap w:val="0"/>
            <w:vAlign w:val="center"/>
          </w:tcPr>
          <w:p>
            <w:pPr>
              <w:spacing w:line="360" w:lineRule="exact"/>
              <w:rPr>
                <w:rFonts w:hint="eastAsia" w:ascii="宋体" w:hAnsi="宋体" w:eastAsia="宋体"/>
                <w:color w:val="auto"/>
                <w:kern w:val="2"/>
                <w:sz w:val="24"/>
                <w:szCs w:val="24"/>
                <w:lang w:val="en-US" w:eastAsia="zh-CN" w:bidi="ar-SA"/>
              </w:rPr>
            </w:pPr>
            <w:r>
              <w:rPr>
                <w:rFonts w:hint="eastAsia" w:ascii="宋体" w:hAnsi="宋体"/>
                <w:color w:val="auto"/>
                <w:sz w:val="24"/>
                <w:szCs w:val="24"/>
                <w:lang w:val="en-US" w:eastAsia="zh-CN"/>
              </w:rPr>
              <w:t>系统安装</w:t>
            </w:r>
            <w:r>
              <w:rPr>
                <w:rFonts w:ascii="宋体" w:hAnsi="宋体"/>
                <w:color w:val="auto"/>
                <w:sz w:val="24"/>
                <w:szCs w:val="24"/>
              </w:rPr>
              <w:t>应有已通过中国《药品生产质量管理规范（2010年修订）》认证工程施工业绩。</w:t>
            </w:r>
          </w:p>
        </w:tc>
        <w:tc>
          <w:tcPr>
            <w:tcW w:w="1696" w:type="dxa"/>
            <w:tcBorders>
              <w:top w:val="double" w:color="auto" w:sz="4" w:space="0"/>
            </w:tcBorders>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1795" w:type="dxa"/>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URS114</w:t>
            </w:r>
          </w:p>
        </w:tc>
        <w:tc>
          <w:tcPr>
            <w:tcW w:w="5805" w:type="dxa"/>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基本规格内容,技术数据及参考文件等各大项中所提及各项要求供应商提供资料,若有任何问题应于契约订定前先知会需方,在合约上说明，否则各项均列入设备到货验收时之依据。</w:t>
            </w:r>
          </w:p>
        </w:tc>
        <w:tc>
          <w:tcPr>
            <w:tcW w:w="1696" w:type="dxa"/>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0" w:type="auto"/>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URS115</w:t>
            </w:r>
          </w:p>
        </w:tc>
        <w:tc>
          <w:tcPr>
            <w:tcW w:w="0" w:type="auto"/>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供应商在报价中需要将所有需要提供的辅助设施列举清楚，若有列举不明之项目，发生费用则全部由供应商自行承担。</w:t>
            </w:r>
          </w:p>
        </w:tc>
        <w:tc>
          <w:tcPr>
            <w:tcW w:w="0" w:type="auto"/>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0" w:type="auto"/>
            <w:noWrap w:val="0"/>
            <w:vAlign w:val="center"/>
          </w:tcPr>
          <w:p>
            <w:pPr>
              <w:pStyle w:val="6"/>
              <w:spacing w:before="120" w:after="120" w:line="360" w:lineRule="auto"/>
              <w:jc w:val="center"/>
              <w:rPr>
                <w:rFonts w:hint="default"/>
                <w:color w:val="auto"/>
                <w:sz w:val="24"/>
                <w:szCs w:val="24"/>
                <w:lang w:val="en-US" w:eastAsia="zh-CN"/>
              </w:rPr>
            </w:pPr>
            <w:r>
              <w:rPr>
                <w:rFonts w:hint="eastAsia"/>
                <w:color w:val="auto"/>
                <w:sz w:val="24"/>
                <w:szCs w:val="24"/>
                <w:lang w:val="en-US" w:eastAsia="zh-CN"/>
              </w:rPr>
              <w:t>URS116</w:t>
            </w:r>
          </w:p>
        </w:tc>
        <w:tc>
          <w:tcPr>
            <w:tcW w:w="0" w:type="auto"/>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所有的设计、制造、检查和测试、包装和交付</w:t>
            </w:r>
            <w:r>
              <w:rPr>
                <w:rFonts w:hint="eastAsia" w:ascii="宋体" w:hAnsi="宋体"/>
                <w:color w:val="auto"/>
                <w:sz w:val="24"/>
                <w:szCs w:val="24"/>
              </w:rPr>
              <w:t>安装</w:t>
            </w:r>
            <w:r>
              <w:rPr>
                <w:rFonts w:ascii="宋体" w:hAnsi="宋体"/>
                <w:color w:val="auto"/>
                <w:sz w:val="24"/>
                <w:szCs w:val="24"/>
              </w:rPr>
              <w:t>、调试、试运行、最终检查等等活动由供应商负责，</w:t>
            </w:r>
            <w:r>
              <w:rPr>
                <w:rFonts w:hint="eastAsia" w:ascii="宋体" w:hAnsi="宋体"/>
                <w:color w:val="auto"/>
                <w:sz w:val="24"/>
                <w:szCs w:val="24"/>
                <w:lang w:eastAsia="zh-CN"/>
              </w:rPr>
              <w:t>必需</w:t>
            </w:r>
            <w:r>
              <w:rPr>
                <w:rFonts w:ascii="宋体" w:hAnsi="宋体"/>
                <w:color w:val="auto"/>
                <w:sz w:val="24"/>
                <w:szCs w:val="24"/>
              </w:rPr>
              <w:t>严格按照本采购要求和相关的标准与规范来进行。</w:t>
            </w:r>
          </w:p>
        </w:tc>
        <w:tc>
          <w:tcPr>
            <w:tcW w:w="0" w:type="auto"/>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792" w:hRule="atLeast"/>
        </w:trPr>
        <w:tc>
          <w:tcPr>
            <w:tcW w:w="0" w:type="auto"/>
            <w:noWrap w:val="0"/>
            <w:vAlign w:val="center"/>
          </w:tcPr>
          <w:p>
            <w:pPr>
              <w:pStyle w:val="6"/>
              <w:spacing w:before="120" w:after="120" w:line="360" w:lineRule="auto"/>
              <w:jc w:val="center"/>
              <w:rPr>
                <w:rFonts w:hint="eastAsia"/>
                <w:color w:val="auto"/>
                <w:sz w:val="24"/>
                <w:szCs w:val="24"/>
                <w:lang w:val="en-US" w:eastAsia="zh-CN"/>
              </w:rPr>
            </w:pPr>
            <w:r>
              <w:rPr>
                <w:rFonts w:hint="eastAsia"/>
                <w:color w:val="auto"/>
                <w:sz w:val="24"/>
                <w:szCs w:val="24"/>
                <w:lang w:val="en-US" w:eastAsia="zh-CN"/>
              </w:rPr>
              <w:t>URS117</w:t>
            </w:r>
          </w:p>
        </w:tc>
        <w:tc>
          <w:tcPr>
            <w:tcW w:w="0" w:type="auto"/>
            <w:noWrap w:val="0"/>
            <w:vAlign w:val="center"/>
          </w:tcPr>
          <w:p>
            <w:pPr>
              <w:spacing w:line="360" w:lineRule="exact"/>
              <w:rPr>
                <w:rFonts w:hint="eastAsia" w:ascii="宋体" w:hAnsi="宋体" w:eastAsia="宋体"/>
                <w:color w:val="auto"/>
                <w:kern w:val="2"/>
                <w:sz w:val="24"/>
                <w:szCs w:val="24"/>
                <w:lang w:val="en-US" w:eastAsia="zh-CN" w:bidi="ar-SA"/>
              </w:rPr>
            </w:pPr>
            <w:r>
              <w:rPr>
                <w:rFonts w:ascii="宋体" w:hAnsi="宋体"/>
                <w:color w:val="auto"/>
                <w:sz w:val="24"/>
                <w:szCs w:val="24"/>
              </w:rPr>
              <w:t>顺从相关的标准和规范以及本采购要求不能减轻供应商对设备的正确的设计和制造、对所有功能描述和操作条件的完全满足的所应负的所有责任。</w:t>
            </w:r>
          </w:p>
        </w:tc>
        <w:tc>
          <w:tcPr>
            <w:tcW w:w="0" w:type="auto"/>
            <w:noWrap w:val="0"/>
            <w:vAlign w:val="center"/>
          </w:tcPr>
          <w:p>
            <w:pPr>
              <w:spacing w:line="360" w:lineRule="auto"/>
              <w:ind w:left="1" w:right="71" w:rightChars="34"/>
              <w:jc w:val="center"/>
              <w:rPr>
                <w:rFonts w:hint="eastAsia" w:ascii="宋体" w:hAnsi="宋体" w:eastAsia="宋体" w:cs="Arial"/>
                <w:color w:val="auto"/>
                <w:sz w:val="24"/>
                <w:szCs w:val="24"/>
                <w:lang w:val="en-US" w:eastAsia="zh-CN"/>
              </w:rPr>
            </w:pPr>
            <w:r>
              <w:rPr>
                <w:rFonts w:hint="eastAsia" w:ascii="宋体" w:hAnsi="宋体" w:cs="Arial"/>
                <w:color w:val="auto"/>
                <w:sz w:val="24"/>
                <w:szCs w:val="24"/>
                <w:lang w:val="en-US" w:eastAsia="zh-CN"/>
              </w:rPr>
              <w:t>必需</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jc w:val="left"/>
        <w:textAlignment w:val="top"/>
        <w:outlineLvl w:val="0"/>
        <w:rPr>
          <w:rFonts w:hint="eastAsia"/>
          <w:b/>
          <w:color w:val="auto"/>
          <w:kern w:val="0"/>
          <w:sz w:val="24"/>
          <w:szCs w:val="24"/>
          <w:lang w:val="en-US" w:eastAsia="zh-CN"/>
        </w:rPr>
      </w:pPr>
    </w:p>
    <w:p>
      <w:pPr>
        <w:keepNext w:val="0"/>
        <w:keepLines w:val="0"/>
        <w:pageBreakBefore w:val="0"/>
        <w:widowControl w:val="0"/>
        <w:numPr>
          <w:ilvl w:val="0"/>
          <w:numId w:val="6"/>
        </w:numPr>
        <w:kinsoku/>
        <w:wordWrap/>
        <w:overflowPunct/>
        <w:topLinePunct w:val="0"/>
        <w:autoSpaceDE w:val="0"/>
        <w:autoSpaceDN w:val="0"/>
        <w:bidi w:val="0"/>
        <w:adjustRightInd w:val="0"/>
        <w:snapToGrid/>
        <w:spacing w:line="360" w:lineRule="auto"/>
        <w:ind w:left="0" w:leftChars="0" w:right="0" w:rightChars="0" w:firstLine="0" w:firstLineChars="0"/>
        <w:jc w:val="left"/>
        <w:textAlignment w:val="top"/>
        <w:outlineLvl w:val="0"/>
        <w:rPr>
          <w:rFonts w:hint="eastAsia"/>
          <w:b/>
          <w:color w:val="auto"/>
          <w:kern w:val="0"/>
          <w:sz w:val="24"/>
          <w:szCs w:val="24"/>
          <w:lang w:val="en-US" w:eastAsia="zh-CN"/>
        </w:rPr>
      </w:pPr>
      <w:bookmarkStart w:id="20" w:name="_Toc10254"/>
      <w:r>
        <w:rPr>
          <w:rFonts w:hint="eastAsia"/>
          <w:b/>
          <w:color w:val="auto"/>
          <w:kern w:val="0"/>
          <w:sz w:val="24"/>
          <w:szCs w:val="24"/>
          <w:lang w:val="en-US" w:eastAsia="zh-CN"/>
        </w:rPr>
        <w:t>术语表</w:t>
      </w:r>
      <w:bookmarkEnd w:id="20"/>
    </w:p>
    <w:p>
      <w:pPr>
        <w:numPr>
          <w:ilvl w:val="0"/>
          <w:numId w:val="0"/>
        </w:numPr>
        <w:autoSpaceDE w:val="0"/>
        <w:autoSpaceDN w:val="0"/>
        <w:adjustRightInd w:val="0"/>
        <w:spacing w:line="360" w:lineRule="auto"/>
        <w:jc w:val="left"/>
        <w:textAlignment w:val="top"/>
        <w:rPr>
          <w:rFonts w:hint="eastAsia" w:hAnsi="宋体"/>
          <w:b w:val="0"/>
          <w:bCs/>
          <w:color w:val="auto"/>
          <w:kern w:val="0"/>
          <w:sz w:val="24"/>
          <w:szCs w:val="24"/>
          <w:lang w:val="en-US" w:eastAsia="zh-CN"/>
        </w:rPr>
      </w:pPr>
      <w:r>
        <w:rPr>
          <w:rFonts w:hint="eastAsia"/>
          <w:b/>
          <w:color w:val="auto"/>
          <w:kern w:val="0"/>
          <w:sz w:val="24"/>
          <w:szCs w:val="24"/>
          <w:lang w:val="en-US" w:eastAsia="zh-CN"/>
        </w:rPr>
        <w:t xml:space="preserve"> </w:t>
      </w:r>
    </w:p>
    <w:tbl>
      <w:tblPr>
        <w:tblStyle w:val="12"/>
        <w:tblW w:w="9285"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7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shd w:val="clear" w:color="auto" w:fill="D7D7D7"/>
            <w:noWrap w:val="0"/>
            <w:vAlign w:val="center"/>
          </w:tcPr>
          <w:p>
            <w:pPr>
              <w:numPr>
                <w:ilvl w:val="0"/>
                <w:numId w:val="0"/>
              </w:numPr>
              <w:autoSpaceDE w:val="0"/>
              <w:autoSpaceDN w:val="0"/>
              <w:adjustRightInd w:val="0"/>
              <w:spacing w:line="360" w:lineRule="auto"/>
              <w:jc w:val="center"/>
              <w:textAlignment w:val="top"/>
              <w:rPr>
                <w:rFonts w:hint="eastAsia" w:hAnsi="宋体"/>
                <w:b/>
                <w:bCs w:val="0"/>
                <w:color w:val="auto"/>
                <w:kern w:val="0"/>
                <w:sz w:val="24"/>
                <w:szCs w:val="24"/>
                <w:vertAlign w:val="baseline"/>
                <w:lang w:val="en-US" w:eastAsia="zh-CN"/>
              </w:rPr>
            </w:pPr>
            <w:bookmarkStart w:id="23" w:name="_GoBack" w:colFirst="0" w:colLast="1"/>
            <w:r>
              <w:rPr>
                <w:rFonts w:hint="eastAsia" w:hAnsi="宋体"/>
                <w:b/>
                <w:bCs w:val="0"/>
                <w:color w:val="auto"/>
                <w:kern w:val="0"/>
                <w:sz w:val="24"/>
                <w:szCs w:val="24"/>
                <w:lang w:val="en-US" w:eastAsia="zh-CN"/>
              </w:rPr>
              <w:t>术语</w:t>
            </w:r>
          </w:p>
        </w:tc>
        <w:tc>
          <w:tcPr>
            <w:tcW w:w="7500" w:type="dxa"/>
            <w:shd w:val="clear" w:color="auto" w:fill="D7D7D7"/>
            <w:noWrap w:val="0"/>
            <w:vAlign w:val="center"/>
          </w:tcPr>
          <w:p>
            <w:pPr>
              <w:numPr>
                <w:ilvl w:val="0"/>
                <w:numId w:val="0"/>
              </w:numPr>
              <w:autoSpaceDE w:val="0"/>
              <w:autoSpaceDN w:val="0"/>
              <w:adjustRightInd w:val="0"/>
              <w:spacing w:line="360" w:lineRule="auto"/>
              <w:jc w:val="center"/>
              <w:textAlignment w:val="top"/>
              <w:rPr>
                <w:rFonts w:hint="eastAsia" w:hAnsi="宋体"/>
                <w:b/>
                <w:bCs w:val="0"/>
                <w:color w:val="auto"/>
                <w:kern w:val="0"/>
                <w:sz w:val="24"/>
                <w:szCs w:val="24"/>
                <w:vertAlign w:val="baseline"/>
                <w:lang w:val="en-US" w:eastAsia="zh-CN"/>
              </w:rPr>
            </w:pPr>
            <w:r>
              <w:rPr>
                <w:rFonts w:hint="eastAsia" w:hAnsi="宋体"/>
                <w:b/>
                <w:bCs w:val="0"/>
                <w:color w:val="auto"/>
                <w:kern w:val="0"/>
                <w:sz w:val="24"/>
                <w:szCs w:val="24"/>
                <w:vertAlign w:val="baseline"/>
                <w:lang w:val="en-US" w:eastAsia="zh-CN"/>
              </w:rPr>
              <w:t>中文定义</w:t>
            </w:r>
          </w:p>
        </w:tc>
      </w:tr>
      <w:bookmarkEnd w:id="2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noWrap w:val="0"/>
            <w:vAlign w:val="top"/>
          </w:tcPr>
          <w:p>
            <w:pPr>
              <w:numPr>
                <w:ilvl w:val="0"/>
                <w:numId w:val="0"/>
              </w:numPr>
              <w:autoSpaceDE w:val="0"/>
              <w:autoSpaceDN w:val="0"/>
              <w:adjustRightInd w:val="0"/>
              <w:spacing w:line="360" w:lineRule="auto"/>
              <w:jc w:val="center"/>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FDA</w:t>
            </w:r>
          </w:p>
        </w:tc>
        <w:tc>
          <w:tcPr>
            <w:tcW w:w="7500" w:type="dxa"/>
            <w:noWrap w:val="0"/>
            <w:vAlign w:val="top"/>
          </w:tcPr>
          <w:p>
            <w:pPr>
              <w:numPr>
                <w:ilvl w:val="0"/>
                <w:numId w:val="0"/>
              </w:numPr>
              <w:autoSpaceDE w:val="0"/>
              <w:autoSpaceDN w:val="0"/>
              <w:adjustRightInd w:val="0"/>
              <w:spacing w:line="360" w:lineRule="auto"/>
              <w:jc w:val="left"/>
              <w:textAlignment w:val="top"/>
              <w:rPr>
                <w:rFonts w:hint="eastAsia"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食品与药物管理局 Food and Drugs Administration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785" w:type="dxa"/>
            <w:noWrap w:val="0"/>
            <w:vAlign w:val="top"/>
          </w:tcPr>
          <w:p>
            <w:pPr>
              <w:numPr>
                <w:ilvl w:val="0"/>
                <w:numId w:val="0"/>
              </w:numPr>
              <w:autoSpaceDE w:val="0"/>
              <w:autoSpaceDN w:val="0"/>
              <w:adjustRightInd w:val="0"/>
              <w:spacing w:line="360" w:lineRule="auto"/>
              <w:jc w:val="center"/>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GMP</w:t>
            </w:r>
          </w:p>
        </w:tc>
        <w:tc>
          <w:tcPr>
            <w:tcW w:w="7500" w:type="dxa"/>
            <w:noWrap w:val="0"/>
            <w:vAlign w:val="top"/>
          </w:tcPr>
          <w:p>
            <w:pPr>
              <w:numPr>
                <w:ilvl w:val="0"/>
                <w:numId w:val="0"/>
              </w:numPr>
              <w:autoSpaceDE w:val="0"/>
              <w:autoSpaceDN w:val="0"/>
              <w:adjustRightInd w:val="0"/>
              <w:spacing w:line="360" w:lineRule="auto"/>
              <w:jc w:val="left"/>
              <w:textAlignment w:val="top"/>
              <w:rPr>
                <w:rFonts w:hint="eastAsia"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de-DE" w:eastAsia="zh-CN"/>
              </w:rPr>
              <w:t>药品生产质量管理规范</w:t>
            </w:r>
            <w:r>
              <w:rPr>
                <w:color w:val="auto"/>
                <w:szCs w:val="21"/>
                <w:lang w:val="de-DE"/>
              </w:rPr>
              <w:t xml:space="preserve"> </w:t>
            </w:r>
            <w:r>
              <w:rPr>
                <w:rFonts w:hint="eastAsia" w:hAnsi="宋体"/>
                <w:b w:val="0"/>
                <w:bCs/>
                <w:color w:val="auto"/>
                <w:kern w:val="0"/>
                <w:sz w:val="24"/>
                <w:szCs w:val="24"/>
                <w:vertAlign w:val="baseline"/>
                <w:lang w:val="de-DE" w:eastAsia="zh-CN"/>
              </w:rPr>
              <w:t>Good Manufacturing Practices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noWrap w:val="0"/>
            <w:vAlign w:val="top"/>
          </w:tcPr>
          <w:p>
            <w:pPr>
              <w:numPr>
                <w:ilvl w:val="0"/>
                <w:numId w:val="0"/>
              </w:numPr>
              <w:autoSpaceDE w:val="0"/>
              <w:autoSpaceDN w:val="0"/>
              <w:adjustRightInd w:val="0"/>
              <w:spacing w:line="360" w:lineRule="auto"/>
              <w:jc w:val="center"/>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EHS</w:t>
            </w:r>
          </w:p>
        </w:tc>
        <w:tc>
          <w:tcPr>
            <w:tcW w:w="7500" w:type="dxa"/>
            <w:noWrap w:val="0"/>
            <w:vAlign w:val="top"/>
          </w:tcPr>
          <w:p>
            <w:pPr>
              <w:numPr>
                <w:ilvl w:val="0"/>
                <w:numId w:val="0"/>
              </w:numPr>
              <w:autoSpaceDE w:val="0"/>
              <w:autoSpaceDN w:val="0"/>
              <w:adjustRightInd w:val="0"/>
              <w:spacing w:line="360" w:lineRule="auto"/>
              <w:jc w:val="left"/>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fldChar w:fldCharType="begin"/>
            </w:r>
            <w:r>
              <w:rPr>
                <w:rFonts w:hint="eastAsia" w:hAnsi="宋体"/>
                <w:b w:val="0"/>
                <w:bCs/>
                <w:color w:val="auto"/>
                <w:kern w:val="0"/>
                <w:sz w:val="24"/>
                <w:szCs w:val="24"/>
                <w:vertAlign w:val="baseline"/>
                <w:lang w:val="en-US" w:eastAsia="zh-CN"/>
              </w:rPr>
              <w:instrText xml:space="preserve"> HYPERLINK "https://baike.baidu.com/item/%E8%81%8C%E4%B8%9A%E5%81%A5%E5%BA%B7/7608684" \t "https://baike.baidu.com/item/%E8%81%8C%E5%AE%89%E5%8D%AB/_blank" </w:instrText>
            </w:r>
            <w:r>
              <w:rPr>
                <w:rFonts w:hint="eastAsia" w:hAnsi="宋体"/>
                <w:b w:val="0"/>
                <w:bCs/>
                <w:color w:val="auto"/>
                <w:kern w:val="0"/>
                <w:sz w:val="24"/>
                <w:szCs w:val="24"/>
                <w:vertAlign w:val="baseline"/>
                <w:lang w:val="en-US" w:eastAsia="zh-CN"/>
              </w:rPr>
              <w:fldChar w:fldCharType="separate"/>
            </w:r>
            <w:r>
              <w:rPr>
                <w:rFonts w:hint="eastAsia" w:hAnsi="宋体"/>
                <w:b w:val="0"/>
                <w:bCs/>
                <w:color w:val="auto"/>
                <w:kern w:val="0"/>
                <w:sz w:val="24"/>
                <w:szCs w:val="24"/>
                <w:vertAlign w:val="baseline"/>
                <w:lang w:val="en-US" w:eastAsia="zh-CN"/>
              </w:rPr>
              <w:t>职业健康</w:t>
            </w:r>
            <w:r>
              <w:rPr>
                <w:rFonts w:hint="eastAsia" w:hAnsi="宋体"/>
                <w:b w:val="0"/>
                <w:bCs/>
                <w:color w:val="auto"/>
                <w:kern w:val="0"/>
                <w:sz w:val="24"/>
                <w:szCs w:val="24"/>
                <w:vertAlign w:val="baseline"/>
                <w:lang w:val="en-US" w:eastAsia="zh-CN"/>
              </w:rPr>
              <w:fldChar w:fldCharType="end"/>
            </w:r>
            <w:r>
              <w:rPr>
                <w:rFonts w:hint="eastAsia" w:hAnsi="宋体"/>
                <w:b w:val="0"/>
                <w:bCs/>
                <w:color w:val="auto"/>
                <w:kern w:val="0"/>
                <w:sz w:val="24"/>
                <w:szCs w:val="24"/>
                <w:vertAlign w:val="baseline"/>
                <w:lang w:val="en-US" w:eastAsia="zh-CN"/>
              </w:rPr>
              <w:t xml:space="preserve">，安全管理，卫生管理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noWrap w:val="0"/>
            <w:vAlign w:val="top"/>
          </w:tcPr>
          <w:p>
            <w:pPr>
              <w:numPr>
                <w:ilvl w:val="0"/>
                <w:numId w:val="0"/>
              </w:numPr>
              <w:autoSpaceDE w:val="0"/>
              <w:autoSpaceDN w:val="0"/>
              <w:adjustRightInd w:val="0"/>
              <w:spacing w:line="360" w:lineRule="auto"/>
              <w:jc w:val="center"/>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ISPE</w:t>
            </w:r>
          </w:p>
        </w:tc>
        <w:tc>
          <w:tcPr>
            <w:tcW w:w="7500" w:type="dxa"/>
            <w:noWrap w:val="0"/>
            <w:vAlign w:val="top"/>
          </w:tcPr>
          <w:p>
            <w:pPr>
              <w:numPr>
                <w:ilvl w:val="0"/>
                <w:numId w:val="0"/>
              </w:numPr>
              <w:autoSpaceDE w:val="0"/>
              <w:autoSpaceDN w:val="0"/>
              <w:adjustRightInd w:val="0"/>
              <w:spacing w:line="360" w:lineRule="auto"/>
              <w:jc w:val="left"/>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国际制药工程协会 International Society for Pharmaceutical Engineering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noWrap w:val="0"/>
            <w:vAlign w:val="top"/>
          </w:tcPr>
          <w:p>
            <w:pPr>
              <w:numPr>
                <w:ilvl w:val="0"/>
                <w:numId w:val="0"/>
              </w:numPr>
              <w:autoSpaceDE w:val="0"/>
              <w:autoSpaceDN w:val="0"/>
              <w:adjustRightInd w:val="0"/>
              <w:spacing w:line="360" w:lineRule="auto"/>
              <w:jc w:val="center"/>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FAT</w:t>
            </w:r>
          </w:p>
        </w:tc>
        <w:tc>
          <w:tcPr>
            <w:tcW w:w="7500" w:type="dxa"/>
            <w:noWrap w:val="0"/>
            <w:vAlign w:val="top"/>
          </w:tcPr>
          <w:p>
            <w:pPr>
              <w:numPr>
                <w:ilvl w:val="0"/>
                <w:numId w:val="0"/>
              </w:numPr>
              <w:autoSpaceDE w:val="0"/>
              <w:autoSpaceDN w:val="0"/>
              <w:adjustRightInd w:val="0"/>
              <w:spacing w:line="360" w:lineRule="auto"/>
              <w:jc w:val="left"/>
              <w:textAlignment w:val="top"/>
              <w:rPr>
                <w:rFonts w:hint="eastAsia"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工厂验收测试 Factory Acceptance Test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noWrap w:val="0"/>
            <w:vAlign w:val="top"/>
          </w:tcPr>
          <w:p>
            <w:pPr>
              <w:numPr>
                <w:ilvl w:val="0"/>
                <w:numId w:val="0"/>
              </w:numPr>
              <w:autoSpaceDE w:val="0"/>
              <w:autoSpaceDN w:val="0"/>
              <w:adjustRightInd w:val="0"/>
              <w:spacing w:line="360" w:lineRule="auto"/>
              <w:jc w:val="center"/>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SAT</w:t>
            </w:r>
          </w:p>
        </w:tc>
        <w:tc>
          <w:tcPr>
            <w:tcW w:w="7500" w:type="dxa"/>
            <w:noWrap w:val="0"/>
            <w:vAlign w:val="top"/>
          </w:tcPr>
          <w:p>
            <w:pPr>
              <w:numPr>
                <w:ilvl w:val="0"/>
                <w:numId w:val="0"/>
              </w:numPr>
              <w:autoSpaceDE w:val="0"/>
              <w:autoSpaceDN w:val="0"/>
              <w:adjustRightInd w:val="0"/>
              <w:spacing w:line="360" w:lineRule="auto"/>
              <w:jc w:val="left"/>
              <w:textAlignment w:val="top"/>
              <w:rPr>
                <w:rFonts w:hint="eastAsia"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现场验收测试 Site Acceptance Test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noWrap w:val="0"/>
            <w:vAlign w:val="top"/>
          </w:tcPr>
          <w:p>
            <w:pPr>
              <w:numPr>
                <w:ilvl w:val="0"/>
                <w:numId w:val="0"/>
              </w:numPr>
              <w:autoSpaceDE w:val="0"/>
              <w:autoSpaceDN w:val="0"/>
              <w:adjustRightInd w:val="0"/>
              <w:spacing w:line="360" w:lineRule="auto"/>
              <w:jc w:val="center"/>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DQ</w:t>
            </w:r>
          </w:p>
        </w:tc>
        <w:tc>
          <w:tcPr>
            <w:tcW w:w="7500" w:type="dxa"/>
            <w:noWrap w:val="0"/>
            <w:vAlign w:val="top"/>
          </w:tcPr>
          <w:p>
            <w:pPr>
              <w:numPr>
                <w:ilvl w:val="0"/>
                <w:numId w:val="0"/>
              </w:numPr>
              <w:autoSpaceDE w:val="0"/>
              <w:autoSpaceDN w:val="0"/>
              <w:adjustRightInd w:val="0"/>
              <w:spacing w:line="360" w:lineRule="auto"/>
              <w:jc w:val="left"/>
              <w:textAlignment w:val="top"/>
              <w:rPr>
                <w:rFonts w:hint="eastAsia" w:hAnsi="宋体"/>
                <w:b w:val="0"/>
                <w:bCs/>
                <w:color w:val="auto"/>
                <w:kern w:val="0"/>
                <w:sz w:val="24"/>
                <w:szCs w:val="24"/>
                <w:vertAlign w:val="baseline"/>
                <w:lang w:val="en-US" w:eastAsia="zh-CN"/>
              </w:rPr>
            </w:pPr>
            <w:r>
              <w:rPr>
                <w:rFonts w:hAnsi="宋体"/>
                <w:color w:val="auto"/>
                <w:szCs w:val="21"/>
                <w:lang w:val="de-DE"/>
              </w:rPr>
              <w:t>设计确认</w:t>
            </w:r>
            <w:r>
              <w:rPr>
                <w:color w:val="auto"/>
                <w:szCs w:val="21"/>
                <w:lang w:val="de-DE"/>
              </w:rPr>
              <w:t xml:space="preserve"> Design Qualification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noWrap w:val="0"/>
            <w:vAlign w:val="top"/>
          </w:tcPr>
          <w:p>
            <w:pPr>
              <w:numPr>
                <w:ilvl w:val="0"/>
                <w:numId w:val="0"/>
              </w:numPr>
              <w:autoSpaceDE w:val="0"/>
              <w:autoSpaceDN w:val="0"/>
              <w:adjustRightInd w:val="0"/>
              <w:spacing w:line="360" w:lineRule="auto"/>
              <w:jc w:val="center"/>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IQ</w:t>
            </w:r>
          </w:p>
        </w:tc>
        <w:tc>
          <w:tcPr>
            <w:tcW w:w="7500" w:type="dxa"/>
            <w:noWrap w:val="0"/>
            <w:vAlign w:val="top"/>
          </w:tcPr>
          <w:p>
            <w:pPr>
              <w:numPr>
                <w:ilvl w:val="0"/>
                <w:numId w:val="0"/>
              </w:numPr>
              <w:autoSpaceDE w:val="0"/>
              <w:autoSpaceDN w:val="0"/>
              <w:adjustRightInd w:val="0"/>
              <w:spacing w:line="360" w:lineRule="auto"/>
              <w:jc w:val="left"/>
              <w:textAlignment w:val="top"/>
              <w:rPr>
                <w:rFonts w:hint="eastAsia"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安装确认 Installation Qualification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noWrap w:val="0"/>
            <w:vAlign w:val="top"/>
          </w:tcPr>
          <w:p>
            <w:pPr>
              <w:numPr>
                <w:ilvl w:val="0"/>
                <w:numId w:val="0"/>
              </w:numPr>
              <w:autoSpaceDE w:val="0"/>
              <w:autoSpaceDN w:val="0"/>
              <w:adjustRightInd w:val="0"/>
              <w:spacing w:line="360" w:lineRule="auto"/>
              <w:jc w:val="center"/>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OQ</w:t>
            </w:r>
          </w:p>
        </w:tc>
        <w:tc>
          <w:tcPr>
            <w:tcW w:w="7500" w:type="dxa"/>
            <w:noWrap w:val="0"/>
            <w:vAlign w:val="top"/>
          </w:tcPr>
          <w:p>
            <w:pPr>
              <w:numPr>
                <w:ilvl w:val="0"/>
                <w:numId w:val="0"/>
              </w:numPr>
              <w:autoSpaceDE w:val="0"/>
              <w:autoSpaceDN w:val="0"/>
              <w:adjustRightInd w:val="0"/>
              <w:spacing w:line="360" w:lineRule="auto"/>
              <w:jc w:val="left"/>
              <w:textAlignment w:val="top"/>
              <w:rPr>
                <w:rFonts w:hint="eastAsia"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运行确认 Operational Qualification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noWrap w:val="0"/>
            <w:vAlign w:val="top"/>
          </w:tcPr>
          <w:p>
            <w:pPr>
              <w:numPr>
                <w:ilvl w:val="0"/>
                <w:numId w:val="0"/>
              </w:numPr>
              <w:autoSpaceDE w:val="0"/>
              <w:autoSpaceDN w:val="0"/>
              <w:adjustRightInd w:val="0"/>
              <w:spacing w:line="360" w:lineRule="auto"/>
              <w:jc w:val="center"/>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PQ</w:t>
            </w:r>
          </w:p>
        </w:tc>
        <w:tc>
          <w:tcPr>
            <w:tcW w:w="7500" w:type="dxa"/>
            <w:noWrap w:val="0"/>
            <w:vAlign w:val="top"/>
          </w:tcPr>
          <w:p>
            <w:pPr>
              <w:numPr>
                <w:ilvl w:val="0"/>
                <w:numId w:val="0"/>
              </w:numPr>
              <w:autoSpaceDE w:val="0"/>
              <w:autoSpaceDN w:val="0"/>
              <w:adjustRightInd w:val="0"/>
              <w:spacing w:line="360" w:lineRule="auto"/>
              <w:jc w:val="left"/>
              <w:textAlignment w:val="top"/>
              <w:rPr>
                <w:rFonts w:hint="eastAsia"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性能确认 Performance Qualification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noWrap w:val="0"/>
            <w:vAlign w:val="top"/>
          </w:tcPr>
          <w:p>
            <w:pPr>
              <w:numPr>
                <w:ilvl w:val="0"/>
                <w:numId w:val="0"/>
              </w:numPr>
              <w:autoSpaceDE w:val="0"/>
              <w:autoSpaceDN w:val="0"/>
              <w:adjustRightInd w:val="0"/>
              <w:spacing w:line="360" w:lineRule="auto"/>
              <w:jc w:val="center"/>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DCS</w:t>
            </w:r>
          </w:p>
        </w:tc>
        <w:tc>
          <w:tcPr>
            <w:tcW w:w="7500" w:type="dxa"/>
            <w:noWrap w:val="0"/>
            <w:vAlign w:val="top"/>
          </w:tcPr>
          <w:p>
            <w:pPr>
              <w:numPr>
                <w:ilvl w:val="0"/>
                <w:numId w:val="0"/>
              </w:numPr>
              <w:autoSpaceDE w:val="0"/>
              <w:autoSpaceDN w:val="0"/>
              <w:adjustRightInd w:val="0"/>
              <w:spacing w:line="360" w:lineRule="auto"/>
              <w:jc w:val="left"/>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分散控制系统 Distributed Control System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noWrap w:val="0"/>
            <w:vAlign w:val="top"/>
          </w:tcPr>
          <w:p>
            <w:pPr>
              <w:numPr>
                <w:ilvl w:val="0"/>
                <w:numId w:val="0"/>
              </w:numPr>
              <w:autoSpaceDE w:val="0"/>
              <w:autoSpaceDN w:val="0"/>
              <w:adjustRightInd w:val="0"/>
              <w:spacing w:line="360" w:lineRule="auto"/>
              <w:jc w:val="center"/>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P&amp;ID</w:t>
            </w:r>
          </w:p>
        </w:tc>
        <w:tc>
          <w:tcPr>
            <w:tcW w:w="7500" w:type="dxa"/>
            <w:noWrap w:val="0"/>
            <w:vAlign w:val="top"/>
          </w:tcPr>
          <w:p>
            <w:pPr>
              <w:numPr>
                <w:ilvl w:val="0"/>
                <w:numId w:val="0"/>
              </w:numPr>
              <w:autoSpaceDE w:val="0"/>
              <w:autoSpaceDN w:val="0"/>
              <w:adjustRightInd w:val="0"/>
              <w:spacing w:line="360" w:lineRule="auto"/>
              <w:jc w:val="left"/>
              <w:textAlignment w:val="top"/>
              <w:rPr>
                <w:rFonts w:hint="eastAsia"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管路及仪表图 Piping and Instruments Diagram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5" w:type="dxa"/>
            <w:noWrap w:val="0"/>
            <w:vAlign w:val="top"/>
          </w:tcPr>
          <w:p>
            <w:pPr>
              <w:numPr>
                <w:ilvl w:val="0"/>
                <w:numId w:val="0"/>
              </w:numPr>
              <w:autoSpaceDE w:val="0"/>
              <w:autoSpaceDN w:val="0"/>
              <w:adjustRightInd w:val="0"/>
              <w:spacing w:line="360" w:lineRule="auto"/>
              <w:jc w:val="center"/>
              <w:textAlignment w:val="top"/>
              <w:rPr>
                <w:rFonts w:hint="default"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HMI</w:t>
            </w:r>
          </w:p>
        </w:tc>
        <w:tc>
          <w:tcPr>
            <w:tcW w:w="7500" w:type="dxa"/>
            <w:noWrap w:val="0"/>
            <w:vAlign w:val="top"/>
          </w:tcPr>
          <w:p>
            <w:pPr>
              <w:numPr>
                <w:ilvl w:val="0"/>
                <w:numId w:val="0"/>
              </w:numPr>
              <w:autoSpaceDE w:val="0"/>
              <w:autoSpaceDN w:val="0"/>
              <w:adjustRightInd w:val="0"/>
              <w:spacing w:line="360" w:lineRule="auto"/>
              <w:jc w:val="left"/>
              <w:textAlignment w:val="top"/>
              <w:rPr>
                <w:rFonts w:hint="eastAsia" w:hAnsi="宋体"/>
                <w:b w:val="0"/>
                <w:bCs/>
                <w:color w:val="auto"/>
                <w:kern w:val="0"/>
                <w:sz w:val="24"/>
                <w:szCs w:val="24"/>
                <w:vertAlign w:val="baseline"/>
                <w:lang w:val="en-US" w:eastAsia="zh-CN"/>
              </w:rPr>
            </w:pPr>
            <w:r>
              <w:rPr>
                <w:rFonts w:hint="eastAsia" w:hAnsi="宋体"/>
                <w:b w:val="0"/>
                <w:bCs/>
                <w:color w:val="auto"/>
                <w:kern w:val="0"/>
                <w:sz w:val="24"/>
                <w:szCs w:val="24"/>
                <w:vertAlign w:val="baseline"/>
                <w:lang w:val="en-US" w:eastAsia="zh-CN"/>
              </w:rPr>
              <w:t>人机界面 Human Machine Interface</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jc w:val="left"/>
        <w:textAlignment w:val="top"/>
        <w:outlineLvl w:val="0"/>
        <w:rPr>
          <w:rFonts w:hint="eastAsia"/>
          <w:b/>
          <w:color w:val="auto"/>
          <w:kern w:val="0"/>
          <w:sz w:val="24"/>
          <w:szCs w:val="24"/>
          <w:lang w:val="en-US" w:eastAsia="zh-CN"/>
        </w:rPr>
      </w:pPr>
      <w:bookmarkStart w:id="21" w:name="_Toc28744"/>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right="0" w:rightChars="0"/>
        <w:jc w:val="left"/>
        <w:textAlignment w:val="top"/>
        <w:outlineLvl w:val="0"/>
        <w:rPr>
          <w:rFonts w:hint="eastAsia"/>
          <w:b/>
          <w:color w:val="auto"/>
          <w:kern w:val="0"/>
          <w:sz w:val="24"/>
          <w:szCs w:val="24"/>
          <w:lang w:val="en-US" w:eastAsia="zh-CN"/>
        </w:rPr>
      </w:pPr>
      <w:r>
        <w:rPr>
          <w:rFonts w:hint="eastAsia"/>
          <w:b/>
          <w:color w:val="auto"/>
          <w:kern w:val="0"/>
          <w:sz w:val="24"/>
          <w:szCs w:val="24"/>
          <w:lang w:val="en-US" w:eastAsia="zh-CN"/>
        </w:rPr>
        <w:t>6.修订历史</w:t>
      </w:r>
      <w:bookmarkEnd w:id="21"/>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2"/>
        <w:gridCol w:w="2355"/>
        <w:gridCol w:w="5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2" w:type="dxa"/>
            <w:noWrap w:val="0"/>
            <w:vAlign w:val="top"/>
          </w:tcPr>
          <w:p>
            <w:pPr>
              <w:numPr>
                <w:ilvl w:val="0"/>
                <w:numId w:val="0"/>
              </w:numPr>
              <w:autoSpaceDE w:val="0"/>
              <w:autoSpaceDN w:val="0"/>
              <w:adjustRightInd w:val="0"/>
              <w:spacing w:line="360" w:lineRule="auto"/>
              <w:jc w:val="center"/>
              <w:textAlignment w:val="top"/>
              <w:rPr>
                <w:rFonts w:hint="eastAsia" w:eastAsia="宋体"/>
                <w:b/>
                <w:bCs w:val="0"/>
                <w:color w:val="auto"/>
                <w:kern w:val="0"/>
                <w:sz w:val="24"/>
                <w:szCs w:val="24"/>
                <w:vertAlign w:val="baseline"/>
                <w:lang w:val="en-US" w:eastAsia="zh-CN"/>
              </w:rPr>
            </w:pPr>
            <w:r>
              <w:rPr>
                <w:rFonts w:hint="eastAsia"/>
                <w:b/>
                <w:bCs w:val="0"/>
                <w:color w:val="auto"/>
                <w:kern w:val="0"/>
                <w:sz w:val="24"/>
                <w:szCs w:val="24"/>
                <w:vertAlign w:val="baseline"/>
                <w:lang w:val="en-US" w:eastAsia="zh-CN"/>
              </w:rPr>
              <w:t>版本号</w:t>
            </w:r>
          </w:p>
        </w:tc>
        <w:tc>
          <w:tcPr>
            <w:tcW w:w="2355" w:type="dxa"/>
            <w:noWrap w:val="0"/>
            <w:vAlign w:val="top"/>
          </w:tcPr>
          <w:p>
            <w:pPr>
              <w:numPr>
                <w:ilvl w:val="0"/>
                <w:numId w:val="0"/>
              </w:numPr>
              <w:autoSpaceDE w:val="0"/>
              <w:autoSpaceDN w:val="0"/>
              <w:adjustRightInd w:val="0"/>
              <w:spacing w:line="360" w:lineRule="auto"/>
              <w:jc w:val="center"/>
              <w:textAlignment w:val="top"/>
              <w:rPr>
                <w:rFonts w:hint="eastAsia"/>
                <w:b/>
                <w:bCs w:val="0"/>
                <w:color w:val="auto"/>
                <w:kern w:val="0"/>
                <w:sz w:val="24"/>
                <w:szCs w:val="24"/>
                <w:vertAlign w:val="baseline"/>
                <w:lang w:val="en-US" w:eastAsia="zh-CN"/>
              </w:rPr>
            </w:pPr>
            <w:r>
              <w:rPr>
                <w:rFonts w:hint="eastAsia"/>
                <w:b/>
                <w:bCs w:val="0"/>
                <w:color w:val="auto"/>
                <w:kern w:val="0"/>
                <w:sz w:val="24"/>
                <w:szCs w:val="24"/>
                <w:vertAlign w:val="baseline"/>
                <w:lang w:val="en-US" w:eastAsia="zh-CN"/>
              </w:rPr>
              <w:t>批准日期</w:t>
            </w:r>
          </w:p>
        </w:tc>
        <w:tc>
          <w:tcPr>
            <w:tcW w:w="5175" w:type="dxa"/>
            <w:noWrap w:val="0"/>
            <w:vAlign w:val="top"/>
          </w:tcPr>
          <w:p>
            <w:pPr>
              <w:numPr>
                <w:ilvl w:val="0"/>
                <w:numId w:val="0"/>
              </w:numPr>
              <w:autoSpaceDE w:val="0"/>
              <w:autoSpaceDN w:val="0"/>
              <w:adjustRightInd w:val="0"/>
              <w:spacing w:line="360" w:lineRule="auto"/>
              <w:jc w:val="center"/>
              <w:textAlignment w:val="top"/>
              <w:rPr>
                <w:rFonts w:hint="eastAsia"/>
                <w:b/>
                <w:bCs w:val="0"/>
                <w:color w:val="auto"/>
                <w:kern w:val="0"/>
                <w:sz w:val="24"/>
                <w:szCs w:val="24"/>
                <w:vertAlign w:val="baseline"/>
                <w:lang w:val="en-US" w:eastAsia="zh-CN"/>
              </w:rPr>
            </w:pPr>
            <w:r>
              <w:rPr>
                <w:rFonts w:hint="eastAsia"/>
                <w:b/>
                <w:bCs w:val="0"/>
                <w:color w:val="auto"/>
                <w:kern w:val="0"/>
                <w:sz w:val="24"/>
                <w:szCs w:val="24"/>
                <w:vertAlign w:val="baseline"/>
                <w:lang w:val="en-US" w:eastAsia="zh-CN"/>
              </w:rPr>
              <w:t>修订原因、依据及详细修订内容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82" w:type="dxa"/>
            <w:noWrap w:val="0"/>
            <w:vAlign w:val="top"/>
          </w:tcPr>
          <w:p>
            <w:pPr>
              <w:numPr>
                <w:ilvl w:val="0"/>
                <w:numId w:val="0"/>
              </w:numPr>
              <w:autoSpaceDE w:val="0"/>
              <w:autoSpaceDN w:val="0"/>
              <w:adjustRightInd w:val="0"/>
              <w:spacing w:line="360" w:lineRule="auto"/>
              <w:jc w:val="center"/>
              <w:textAlignment w:val="top"/>
              <w:rPr>
                <w:rFonts w:hint="default"/>
                <w:b w:val="0"/>
                <w:bCs/>
                <w:color w:val="auto"/>
                <w:kern w:val="0"/>
                <w:sz w:val="24"/>
                <w:szCs w:val="24"/>
                <w:vertAlign w:val="baseline"/>
                <w:lang w:val="en-US" w:eastAsia="zh-CN"/>
              </w:rPr>
            </w:pPr>
            <w:r>
              <w:rPr>
                <w:rFonts w:hint="eastAsia"/>
                <w:b w:val="0"/>
                <w:bCs/>
                <w:color w:val="auto"/>
                <w:kern w:val="0"/>
                <w:sz w:val="24"/>
                <w:szCs w:val="24"/>
                <w:vertAlign w:val="baseline"/>
                <w:lang w:val="en-US" w:eastAsia="zh-CN"/>
              </w:rPr>
              <w:t>01</w:t>
            </w:r>
          </w:p>
        </w:tc>
        <w:tc>
          <w:tcPr>
            <w:tcW w:w="2355" w:type="dxa"/>
            <w:noWrap w:val="0"/>
            <w:vAlign w:val="top"/>
          </w:tcPr>
          <w:p>
            <w:pPr>
              <w:numPr>
                <w:ilvl w:val="0"/>
                <w:numId w:val="0"/>
              </w:numPr>
              <w:autoSpaceDE w:val="0"/>
              <w:autoSpaceDN w:val="0"/>
              <w:adjustRightInd w:val="0"/>
              <w:spacing w:line="360" w:lineRule="auto"/>
              <w:jc w:val="left"/>
              <w:textAlignment w:val="top"/>
              <w:rPr>
                <w:rFonts w:hint="eastAsia"/>
                <w:b w:val="0"/>
                <w:bCs/>
                <w:color w:val="auto"/>
                <w:kern w:val="0"/>
                <w:sz w:val="24"/>
                <w:szCs w:val="24"/>
                <w:vertAlign w:val="baseline"/>
                <w:lang w:val="en-US" w:eastAsia="zh-CN"/>
              </w:rPr>
            </w:pPr>
          </w:p>
        </w:tc>
        <w:tc>
          <w:tcPr>
            <w:tcW w:w="5175" w:type="dxa"/>
            <w:noWrap w:val="0"/>
            <w:vAlign w:val="top"/>
          </w:tcPr>
          <w:p>
            <w:pPr>
              <w:numPr>
                <w:ilvl w:val="0"/>
                <w:numId w:val="0"/>
              </w:numPr>
              <w:autoSpaceDE w:val="0"/>
              <w:autoSpaceDN w:val="0"/>
              <w:adjustRightInd w:val="0"/>
              <w:spacing w:line="360" w:lineRule="auto"/>
              <w:jc w:val="left"/>
              <w:textAlignment w:val="top"/>
              <w:rPr>
                <w:rFonts w:hint="default"/>
                <w:b w:val="0"/>
                <w:bCs/>
                <w:color w:val="auto"/>
                <w:kern w:val="0"/>
                <w:sz w:val="24"/>
                <w:szCs w:val="24"/>
                <w:vertAlign w:val="baseline"/>
                <w:lang w:val="en-US" w:eastAsia="zh-CN"/>
              </w:rPr>
            </w:pPr>
          </w:p>
        </w:tc>
      </w:tr>
    </w:tbl>
    <w:p>
      <w:pPr>
        <w:numPr>
          <w:ilvl w:val="0"/>
          <w:numId w:val="0"/>
        </w:numPr>
        <w:autoSpaceDE w:val="0"/>
        <w:autoSpaceDN w:val="0"/>
        <w:adjustRightInd w:val="0"/>
        <w:spacing w:line="360" w:lineRule="auto"/>
        <w:jc w:val="left"/>
        <w:textAlignment w:val="top"/>
        <w:rPr>
          <w:rFonts w:hint="eastAsia"/>
          <w:b/>
          <w:color w:val="auto"/>
          <w:kern w:val="0"/>
          <w:sz w:val="24"/>
          <w:szCs w:val="24"/>
          <w:lang w:val="en-US" w:eastAsia="zh-CN"/>
        </w:rPr>
      </w:pPr>
    </w:p>
    <w:p>
      <w:pPr>
        <w:numPr>
          <w:ilvl w:val="0"/>
          <w:numId w:val="0"/>
        </w:numPr>
        <w:autoSpaceDE w:val="0"/>
        <w:autoSpaceDN w:val="0"/>
        <w:adjustRightInd w:val="0"/>
        <w:spacing w:line="360" w:lineRule="auto"/>
        <w:jc w:val="left"/>
        <w:textAlignment w:val="top"/>
        <w:rPr>
          <w:rFonts w:hint="eastAsia" w:hAnsi="宋体"/>
          <w:b w:val="0"/>
          <w:bCs/>
          <w:color w:val="auto"/>
          <w:kern w:val="0"/>
          <w:sz w:val="24"/>
          <w:szCs w:val="24"/>
          <w:lang w:val="en-US" w:eastAsia="zh-CN"/>
        </w:rPr>
      </w:pPr>
    </w:p>
    <w:sectPr>
      <w:footerReference r:id="rId12" w:type="first"/>
      <w:headerReference r:id="rId10" w:type="default"/>
      <w:footerReference r:id="rId11" w:type="default"/>
      <w:pgSz w:w="11906" w:h="16838"/>
      <w:pgMar w:top="1440" w:right="1080" w:bottom="1440" w:left="1080"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0">
                      <a:spAutoFit/>
                    </wps:bodyPr>
                  </wps:wsp>
                </a:graphicData>
              </a:graphic>
            </wp:anchor>
          </w:drawing>
        </mc:Choice>
        <mc:Fallback>
          <w:pict>
            <v:shape id="文本框 104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NAQwcsBAACcAwAADgAAAGRycy9lMm9Eb2MueG1srVPNjtMwEL4j8Q6W&#10;79RpF6E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cNvaHEcYsDv3z/dvnx6/LzK1lW&#10;L2+yQn2AGhPvA6am4Y0fcG9mP6AzEx9UtPmLlAjGUd/zVV85JCLyo/Vqva4wJDA2XxCfPTwPEdJb&#10;6S3JRkMjDrDoyk/vIY2pc0qu5vydNqYM0bi/HIiZPSz3PvaYrTTsh4nQ3rdn5NPj7BvqcNUpMe8c&#10;SpvXZDbibOxn4xiiPnRlj3I9CK+PCZsoveUKI+xUGIdW2E0Llrfiz3vJevip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DQEMHLAQAAnAMAAA4AAAAAAAAAAQAgAAAAHgEAAGRycy9lMm9E&#10;b2MueG1sUEsFBgAAAAAGAAYAWQEAAFsFA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eastAsia="宋体"/>
                              <w:lang w:eastAsia="zh-CN"/>
                            </w:rPr>
                          </w:pP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jEmbS3gEAAL4DAAAOAAAAAAAA&#10;AAEAIAAAAB4BAABkcnMvZTJvRG9jLnhtbFBLBQYAAAAABgAGAFkBAABuBQAAAAA=&#10;">
              <v:fill on="f" focussize="0,0"/>
              <v:stroke on="f"/>
              <v:imagedata o:title=""/>
              <o:lock v:ext="edit" aspectratio="f"/>
              <v:textbox inset="0mm,0mm,0mm,0mm" style="mso-fit-shape-to-text:t;">
                <w:txbxContent>
                  <w:p>
                    <w:pPr>
                      <w:pStyle w:val="7"/>
                      <w:rPr>
                        <w:rFonts w:hint="eastAsia" w:eastAsia="宋体"/>
                        <w:lang w:eastAsia="zh-CN"/>
                      </w:rPr>
                    </w:pP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10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文本框 1044"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T9M3bLAQAAnAMAAA4AAAAAAAAAAQAgAAAAHgEAAGRycy9lMm9E&#10;b2MueG1sUEsFBgAAAAAGAAYAWQEAAFsFA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13"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L6x73gEAAMADAAAOAAAAAAAA&#10;AAEAIAAAAB4BAABkcnMvZTJvRG9jLnhtbFBLBQYAAAAABgAGAFkBAABuBQ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qgpq2N8BAADAAwAADgAAAAAA&#10;AAABACAAAAAeAQAAZHJzL2Uyb0RvYy54bWxQSwUGAAAAAAYABgBZAQAAbwU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val="en-US" w:eastAsia="zh-CN"/>
                            </w:rPr>
                          </w:pP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WxHmXIAQAAmQMAAA4AAAAAAAAAAQAgAAAAHgEAAGRycy9lMm9Eb2Mu&#10;eG1sUEsFBgAAAAAGAAYAWQEAAFgFAAAAAA==&#10;">
              <v:fill on="f" focussize="0,0"/>
              <v:stroke on="f"/>
              <v:imagedata o:title=""/>
              <o:lock v:ext="edit" aspectratio="f"/>
              <v:textbox inset="0mm,0mm,0mm,0mm" style="mso-fit-shape-to-text:t;">
                <w:txbxContent>
                  <w:p>
                    <w:pPr>
                      <w:rPr>
                        <w:rFonts w:hint="eastAsia"/>
                        <w:lang w:val="en-US" w:eastAsia="zh-CN"/>
                      </w:rPr>
                    </w:pP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10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文本框 1044"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BNq0vbLAQAAnAMAAA4AAAAAAAAAAQAgAAAAHgEAAGRycy9lMm9E&#10;b2MueG1sUEsFBgAAAAAGAAYAWQEAAFsFA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XKZym3gEAAL8DAAAOAAAAAAAA&#10;AAEAIAAAAB4BAABkcnMvZTJvRG9jLnhtbFBLBQYAAAAABgAGAFkBAABuBQ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H5RnR3gEAAMADAAAOAAAAAAAA&#10;AAEAIAAAAB4BAABkcnMvZTJvRG9jLnhtbFBLBQYAAAAABgAGAFkBAABuBQ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val="en-US" w:eastAsia="zh-CN"/>
                            </w:rPr>
                          </w:pPr>
                        </w:p>
                      </w:txbxContent>
                    </wps:txbx>
                    <wps:bodyPr wrap="none" lIns="0" tIns="0" rIns="0" bIns="0" upright="0">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G1pvvrIAQAAmgMAAA4AAAAAAAAAAQAgAAAAHgEAAGRycy9lMm9Eb2Mu&#10;eG1sUEsFBgAAAAAGAAYAWQEAAFgFAAAAAA==&#10;">
              <v:fill on="f" focussize="0,0"/>
              <v:stroke on="f"/>
              <v:imagedata o:title=""/>
              <o:lock v:ext="edit" aspectratio="f"/>
              <v:textbox inset="0mm,0mm,0mm,0mm" style="mso-fit-shape-to-text:t;">
                <w:txbxContent>
                  <w:p>
                    <w:pPr>
                      <w:rPr>
                        <w:rFonts w:hint="eastAsia"/>
                        <w:lang w:val="en-US" w:eastAsia="zh-CN"/>
                      </w:rPr>
                    </w:pP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10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文本框 1044"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IGUwsoBAACcAwAADgAAAGRycy9lMm9Eb2MueG1srVPNjtMwEL4j8Q6W&#10;79RptUJ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KI7dcYsDv/z4fvn5+/LrG1lW&#10;Nz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tIGUwsoBAACcAwAADgAAAAAAAAABACAAAAAeAQAAZHJzL2Uyb0Rv&#10;Yy54bWxQSwUGAAAAAAYABgBZAQAAWgU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pPr>
    <w:r>
      <w:rPr>
        <w:rFonts w:hint="eastAsia"/>
        <w:lang w:val="en-US" w:eastAsia="zh-CN"/>
      </w:rPr>
      <w:t xml:space="preserve">无油压缩空气制备系统用户需求标准                                          </w:t>
    </w:r>
    <w:r>
      <w:rPr>
        <w:rFonts w:hint="eastAsia" w:ascii="宋体" w:hAnsi="宋体" w:eastAsia="宋体" w:cs="宋体"/>
        <w:lang w:val="en-US" w:eastAsia="zh-CN"/>
      </w:rPr>
      <w:t>URS-</w:t>
    </w:r>
    <w:r>
      <w:rPr>
        <w:rFonts w:hint="eastAsia" w:ascii="宋体" w:hAnsi="宋体" w:cs="宋体"/>
        <w:lang w:val="en-US" w:eastAsia="zh-CN"/>
      </w:rPr>
      <w:t>GC</w:t>
    </w:r>
    <w:r>
      <w:rPr>
        <w:rFonts w:hint="eastAsia" w:ascii="宋体" w:hAnsi="宋体" w:eastAsia="宋体" w:cs="宋体"/>
        <w:lang w:val="en-US" w:eastAsia="zh-CN"/>
      </w:rPr>
      <w:t>-</w:t>
    </w:r>
    <w:r>
      <w:rPr>
        <w:rFonts w:hint="eastAsia" w:ascii="宋体" w:hAnsi="宋体" w:cs="宋体"/>
        <w:lang w:val="en-US" w:eastAsia="zh-CN"/>
      </w:rPr>
      <w:t>2021</w:t>
    </w:r>
    <w:r>
      <w:rPr>
        <w:rFonts w:hint="eastAsia" w:ascii="宋体" w:hAnsi="宋体" w:eastAsia="宋体" w:cs="宋体"/>
        <w:lang w:val="en-US" w:eastAsia="zh-CN"/>
      </w:rPr>
      <w:t>-</w:t>
    </w:r>
    <w:r>
      <w:rPr>
        <w:rFonts w:hint="eastAsia" w:ascii="宋体" w:hAnsi="宋体" w:cs="宋体"/>
        <w:lang w:val="en-US" w:eastAsia="zh-CN"/>
      </w:rPr>
      <w:t>001</w:t>
    </w:r>
    <w:r>
      <w:rPr>
        <w:rFonts w:hint="eastAsia" w:ascii="宋体" w:hAnsi="宋体" w:eastAsia="宋体" w:cs="宋体"/>
        <w:lang w:val="en-US" w:eastAsia="zh-CN"/>
      </w:rPr>
      <w:t>-</w:t>
    </w:r>
    <w:r>
      <w:rPr>
        <w:rFonts w:hint="eastAsia" w:ascii="宋体" w:hAnsi="宋体" w:cs="宋体"/>
        <w:lang w:val="en-US" w:eastAsia="zh-CN"/>
      </w:rPr>
      <w:t>01</w:t>
    </w:r>
    <w:r>
      <w:rPr>
        <w:rFonts w:ascii="宋体" w:hAnsi="宋体" w:cs="宋体"/>
        <w:kern w:val="0"/>
        <w:sz w:val="24"/>
        <w:lang w:bidi="ar"/>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04800" cy="304800"/>
              <wp:effectExtent l="0" t="0" r="0" b="0"/>
              <wp:wrapSquare wrapText="bothSides"/>
              <wp:docPr id="2" name="图片 1025" descr="IMG_25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04800" cy="304800"/>
                      </a:xfrm>
                      <a:prstGeom prst="rect">
                        <a:avLst/>
                      </a:prstGeom>
                      <a:noFill/>
                      <a:ln>
                        <a:noFill/>
                      </a:ln>
                    </wps:spPr>
                    <wps:bodyPr wrap="square" upright="1"/>
                  </wps:wsp>
                </a:graphicData>
              </a:graphic>
            </wp:anchor>
          </w:drawing>
        </mc:Choice>
        <mc:Fallback>
          <w:pict>
            <v:rect id="图片 1025" o:spid="_x0000_s1026" o:spt="1" alt="IMG_256" style="position:absolute;left:0pt;margin-left:0pt;margin-top:0pt;height:24pt;width:24pt;mso-wrap-distance-bottom:0pt;mso-wrap-distance-left:9pt;mso-wrap-distance-right:9pt;mso-wrap-distance-top:0pt;z-index:251659264;mso-width-relative:page;mso-height-relative:page;"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AfMlnTSAAAAAwEAAA8AAAAAAAAAAQAgAAAAIgAAAGRycy9kb3ducmV2&#10;LnhtbFBLAQIUABQAAAAIAIdO4kD3jLrcyQEAAIIDAAAOAAAAAAAAAAEAIAAAACEBAABkcnMvZTJv&#10;RG9jLnhtbFBLBQYAAAAABgAGAFkBAABcBQAAAAA=&#10;">
              <v:fill on="f" focussize="0,0"/>
              <v:stroke on="f"/>
              <v:imagedata o:title=""/>
              <o:lock v:ext="edit" aspectratio="t"/>
              <w10:wrap type="square"/>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rPr>
        <w:rFonts w:hint="default"/>
        <w:lang w:val="en-US"/>
      </w:rPr>
    </w:pPr>
    <w:r>
      <w:drawing>
        <wp:inline distT="0" distB="0" distL="114300" distR="114300">
          <wp:extent cx="1287780" cy="321310"/>
          <wp:effectExtent l="0" t="0" r="7620" b="254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
                  <a:stretch>
                    <a:fillRect/>
                  </a:stretch>
                </pic:blipFill>
                <pic:spPr>
                  <a:xfrm>
                    <a:off x="0" y="0"/>
                    <a:ext cx="1287780" cy="321310"/>
                  </a:xfrm>
                  <a:prstGeom prst="rect">
                    <a:avLst/>
                  </a:prstGeom>
                  <a:noFill/>
                  <a:ln>
                    <a:noFill/>
                  </a:ln>
                </pic:spPr>
              </pic:pic>
            </a:graphicData>
          </a:graphic>
        </wp:inline>
      </w:drawing>
    </w:r>
    <w:r>
      <w:rPr>
        <w:rFonts w:hint="eastAsia"/>
        <w:lang w:val="en-US" w:eastAsia="zh-CN"/>
      </w:rPr>
      <w:t xml:space="preserve">                   </w:t>
    </w:r>
    <w:bookmarkStart w:id="22" w:name="OLE_LINK8"/>
    <w:r>
      <w:rPr>
        <w:rFonts w:hint="eastAsia"/>
        <w:lang w:val="en-US" w:eastAsia="zh-CN"/>
      </w:rPr>
      <w:t xml:space="preserve">                                            </w:t>
    </w:r>
    <w:r>
      <w:rPr>
        <w:rFonts w:hint="eastAsia" w:ascii="宋体" w:hAnsi="宋体" w:eastAsia="宋体" w:cs="宋体"/>
        <w:lang w:val="en-US" w:eastAsia="zh-CN"/>
      </w:rPr>
      <w:t>URS</w:t>
    </w:r>
    <w:bookmarkEnd w:id="22"/>
    <w:r>
      <w:rPr>
        <w:rFonts w:hint="eastAsia" w:ascii="宋体" w:hAnsi="宋体" w:eastAsia="宋体" w:cs="宋体"/>
        <w:lang w:val="en-US" w:eastAsia="zh-CN"/>
      </w:rPr>
      <w:t>-</w:t>
    </w:r>
    <w:r>
      <w:rPr>
        <w:rFonts w:hint="eastAsia" w:ascii="宋体" w:hAnsi="宋体" w:cs="宋体"/>
        <w:lang w:val="en-US" w:eastAsia="zh-CN"/>
      </w:rPr>
      <w:t>GC</w:t>
    </w:r>
    <w:r>
      <w:rPr>
        <w:rFonts w:hint="eastAsia" w:ascii="宋体" w:hAnsi="宋体" w:eastAsia="宋体" w:cs="宋体"/>
        <w:lang w:val="en-US" w:eastAsia="zh-CN"/>
      </w:rPr>
      <w:t>-</w:t>
    </w:r>
    <w:r>
      <w:rPr>
        <w:rFonts w:hint="eastAsia" w:ascii="宋体" w:hAnsi="宋体" w:cs="宋体"/>
        <w:lang w:val="en-US" w:eastAsia="zh-CN"/>
      </w:rPr>
      <w:t>2021</w:t>
    </w:r>
    <w:r>
      <w:rPr>
        <w:rFonts w:hint="eastAsia" w:ascii="宋体" w:hAnsi="宋体" w:eastAsia="宋体" w:cs="宋体"/>
        <w:lang w:val="en-US" w:eastAsia="zh-CN"/>
      </w:rPr>
      <w:t>-</w:t>
    </w:r>
    <w:r>
      <w:rPr>
        <w:rFonts w:hint="eastAsia" w:ascii="宋体" w:hAnsi="宋体" w:cs="宋体"/>
        <w:lang w:val="en-US" w:eastAsia="zh-CN"/>
      </w:rPr>
      <w:t>001</w:t>
    </w:r>
    <w:r>
      <w:rPr>
        <w:rFonts w:hint="eastAsia" w:ascii="宋体" w:hAnsi="宋体" w:eastAsia="宋体" w:cs="宋体"/>
        <w:lang w:val="en-US" w:eastAsia="zh-CN"/>
      </w:rPr>
      <w:t>-</w:t>
    </w:r>
    <w:r>
      <w:rPr>
        <w:rFonts w:hint="eastAsia" w:ascii="宋体" w:hAnsi="宋体" w:cs="宋体"/>
        <w:lang w:val="en-US" w:eastAsia="zh-CN"/>
      </w:rPr>
      <w:t>01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rPr>
        <w:lang w:val="en-US"/>
      </w:rPr>
    </w:pPr>
    <w:r>
      <w:rPr>
        <w:rFonts w:hint="eastAsia"/>
        <w:lang w:val="en-US" w:eastAsia="zh-CN"/>
      </w:rPr>
      <w:t xml:space="preserve">无油压缩空气制备系统用户需求标准                                                          </w:t>
    </w:r>
    <w:r>
      <w:rPr>
        <w:rFonts w:hint="eastAsia" w:ascii="宋体" w:hAnsi="宋体" w:eastAsia="宋体" w:cs="宋体"/>
        <w:lang w:val="en-US" w:eastAsia="zh-CN"/>
      </w:rPr>
      <w:t>URS-</w:t>
    </w:r>
    <w:r>
      <w:rPr>
        <w:rFonts w:hint="eastAsia" w:ascii="宋体" w:hAnsi="宋体" w:cs="宋体"/>
        <w:lang w:val="en-US" w:eastAsia="zh-CN"/>
      </w:rPr>
      <w:t>GC</w:t>
    </w:r>
    <w:r>
      <w:rPr>
        <w:rFonts w:hint="eastAsia" w:ascii="宋体" w:hAnsi="宋体" w:eastAsia="宋体" w:cs="宋体"/>
        <w:lang w:val="en-US" w:eastAsia="zh-CN"/>
      </w:rPr>
      <w:t>-</w:t>
    </w:r>
    <w:r>
      <w:rPr>
        <w:rFonts w:hint="eastAsia" w:ascii="宋体" w:hAnsi="宋体" w:cs="宋体"/>
        <w:lang w:val="en-US" w:eastAsia="zh-CN"/>
      </w:rPr>
      <w:t>2021</w:t>
    </w:r>
    <w:r>
      <w:rPr>
        <w:rFonts w:hint="eastAsia" w:ascii="宋体" w:hAnsi="宋体" w:eastAsia="宋体" w:cs="宋体"/>
        <w:lang w:val="en-US" w:eastAsia="zh-CN"/>
      </w:rPr>
      <w:t>-</w:t>
    </w:r>
    <w:r>
      <w:rPr>
        <w:rFonts w:hint="eastAsia" w:ascii="宋体" w:hAnsi="宋体" w:cs="宋体"/>
        <w:lang w:val="en-US" w:eastAsia="zh-CN"/>
      </w:rPr>
      <w:t>001</w:t>
    </w:r>
    <w:r>
      <w:rPr>
        <w:rFonts w:hint="eastAsia" w:ascii="宋体" w:hAnsi="宋体" w:eastAsia="宋体" w:cs="宋体"/>
        <w:lang w:val="en-US" w:eastAsia="zh-CN"/>
      </w:rPr>
      <w:t>-</w:t>
    </w:r>
    <w:r>
      <w:rPr>
        <w:rFonts w:hint="eastAsia" w:ascii="宋体" w:hAnsi="宋体" w:cs="宋体"/>
        <w:lang w:val="en-US" w:eastAsia="zh-CN"/>
      </w:rPr>
      <w:t>01</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pPr>
    <w:r>
      <w:rPr>
        <w:rFonts w:hint="eastAsia"/>
        <w:lang w:val="en-US" w:eastAsia="zh-CN"/>
      </w:rPr>
      <w:t xml:space="preserve">无油压缩空气制备系统用户需求标准                                                          </w:t>
    </w:r>
    <w:r>
      <w:rPr>
        <w:rFonts w:hint="eastAsia" w:ascii="宋体" w:hAnsi="宋体" w:eastAsia="宋体" w:cs="宋体"/>
        <w:lang w:val="en-US" w:eastAsia="zh-CN"/>
      </w:rPr>
      <w:t>URS-</w:t>
    </w:r>
    <w:r>
      <w:rPr>
        <w:rFonts w:hint="eastAsia" w:ascii="宋体" w:hAnsi="宋体" w:cs="宋体"/>
        <w:lang w:val="en-US" w:eastAsia="zh-CN"/>
      </w:rPr>
      <w:t>GC</w:t>
    </w:r>
    <w:r>
      <w:rPr>
        <w:rFonts w:hint="eastAsia" w:ascii="宋体" w:hAnsi="宋体" w:eastAsia="宋体" w:cs="宋体"/>
        <w:lang w:val="en-US" w:eastAsia="zh-CN"/>
      </w:rPr>
      <w:t>-</w:t>
    </w:r>
    <w:r>
      <w:rPr>
        <w:rFonts w:hint="eastAsia" w:ascii="宋体" w:hAnsi="宋体" w:cs="宋体"/>
        <w:lang w:val="en-US" w:eastAsia="zh-CN"/>
      </w:rPr>
      <w:t>2021</w:t>
    </w:r>
    <w:r>
      <w:rPr>
        <w:rFonts w:hint="eastAsia" w:ascii="宋体" w:hAnsi="宋体" w:eastAsia="宋体" w:cs="宋体"/>
        <w:lang w:val="en-US" w:eastAsia="zh-CN"/>
      </w:rPr>
      <w:t>-</w:t>
    </w:r>
    <w:r>
      <w:rPr>
        <w:rFonts w:hint="eastAsia" w:ascii="宋体" w:hAnsi="宋体" w:cs="宋体"/>
        <w:lang w:val="en-US" w:eastAsia="zh-CN"/>
      </w:rPr>
      <w:t>001</w:t>
    </w:r>
    <w:r>
      <w:rPr>
        <w:rFonts w:hint="eastAsia" w:ascii="宋体" w:hAnsi="宋体" w:eastAsia="宋体" w:cs="宋体"/>
        <w:lang w:val="en-US" w:eastAsia="zh-CN"/>
      </w:rPr>
      <w:t>-</w:t>
    </w:r>
    <w:r>
      <w:rPr>
        <w:rFonts w:hint="eastAsia" w:ascii="宋体" w:hAnsi="宋体" w:cs="宋体"/>
        <w:lang w:val="en-US" w:eastAsia="zh-CN"/>
      </w:rPr>
      <w:t>01</w:t>
    </w:r>
    <w:r>
      <w:rPr>
        <w:rFonts w:ascii="宋体" w:hAnsi="宋体" w:cs="宋体"/>
        <w:kern w:val="0"/>
        <w:sz w:val="24"/>
        <w:lang w:bidi="ar"/>
      </w:rPr>
      <mc:AlternateContent>
        <mc:Choice Requires="wps">
          <w:drawing>
            <wp:anchor distT="0" distB="0" distL="114300" distR="114300" simplePos="0" relativeHeight="251671552" behindDoc="0" locked="0" layoutInCell="1" allowOverlap="1">
              <wp:simplePos x="0" y="0"/>
              <wp:positionH relativeFrom="column">
                <wp:posOffset>0</wp:posOffset>
              </wp:positionH>
              <wp:positionV relativeFrom="paragraph">
                <wp:posOffset>0</wp:posOffset>
              </wp:positionV>
              <wp:extent cx="304800" cy="304800"/>
              <wp:effectExtent l="0" t="0" r="0" b="0"/>
              <wp:wrapSquare wrapText="bothSides"/>
              <wp:docPr id="15" name="图片 1025" descr="IMG_25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04800" cy="304800"/>
                      </a:xfrm>
                      <a:prstGeom prst="rect">
                        <a:avLst/>
                      </a:prstGeom>
                      <a:noFill/>
                      <a:ln>
                        <a:noFill/>
                      </a:ln>
                    </wps:spPr>
                    <wps:bodyPr wrap="square" upright="1"/>
                  </wps:wsp>
                </a:graphicData>
              </a:graphic>
            </wp:anchor>
          </w:drawing>
        </mc:Choice>
        <mc:Fallback>
          <w:pict>
            <v:rect id="图片 1025" o:spid="_x0000_s1026" o:spt="1" alt="IMG_256" style="position:absolute;left:0pt;margin-left:0pt;margin-top:0pt;height:24pt;width:24pt;mso-wrap-distance-bottom:0pt;mso-wrap-distance-left:9pt;mso-wrap-distance-right:9pt;mso-wrap-distance-top:0pt;z-index:251671552;mso-width-relative:page;mso-height-relative:page;"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B8yWdNIAAAADAQAADwAAAAAAAAABACAAAAAiAAAAZHJzL2Rvd25yZXYu&#10;eG1sUEsBAhQAFAAAAAgAh07iQJsvpr/IAQAAgwMAAA4AAAAAAAAAAQAgAAAAIQEAAGRycy9lMm9E&#10;b2MueG1sUEsFBgAAAAAGAAYAWQEAAFsFAAAAAA==&#10;">
              <v:fill on="f" focussize="0,0"/>
              <v:stroke on="f"/>
              <v:imagedata o:title=""/>
              <o:lock v:ext="edit" aspectratio="t"/>
              <w10:wrap type="squar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72066E"/>
    <w:multiLevelType w:val="multilevel"/>
    <w:tmpl w:val="0972066E"/>
    <w:lvl w:ilvl="0" w:tentative="0">
      <w:start w:val="1"/>
      <w:numFmt w:val="decimal"/>
      <w:lvlText w:val="%1)"/>
      <w:lvlJc w:val="left"/>
      <w:pPr>
        <w:ind w:left="420" w:hanging="420"/>
      </w:pPr>
      <w:rPr>
        <w:rFonts w:cs="Times New Roman"/>
        <w:sz w:val="24"/>
        <w:szCs w:val="24"/>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0CE841FA"/>
    <w:multiLevelType w:val="singleLevel"/>
    <w:tmpl w:val="0CE841FA"/>
    <w:lvl w:ilvl="0" w:tentative="0">
      <w:start w:val="1"/>
      <w:numFmt w:val="bullet"/>
      <w:lvlText w:val=""/>
      <w:lvlJc w:val="left"/>
      <w:pPr>
        <w:tabs>
          <w:tab w:val="left" w:pos="1800"/>
        </w:tabs>
        <w:ind w:left="1800" w:hanging="360"/>
      </w:pPr>
      <w:rPr>
        <w:rFonts w:hint="default" w:ascii="Symbol" w:hAnsi="Symbol"/>
        <w:color w:val="auto"/>
      </w:rPr>
    </w:lvl>
  </w:abstractNum>
  <w:abstractNum w:abstractNumId="2">
    <w:nsid w:val="169A54F8"/>
    <w:multiLevelType w:val="multilevel"/>
    <w:tmpl w:val="169A54F8"/>
    <w:lvl w:ilvl="0" w:tentative="0">
      <w:start w:val="1"/>
      <w:numFmt w:val="lowerLetter"/>
      <w:lvlText w:val="%1)"/>
      <w:lvlJc w:val="left"/>
      <w:pPr>
        <w:ind w:left="840" w:hanging="420"/>
      </w:pPr>
      <w:rPr>
        <w:rFonts w:cs="Times New Roman"/>
      </w:rPr>
    </w:lvl>
    <w:lvl w:ilvl="1" w:tentative="0">
      <w:start w:val="1"/>
      <w:numFmt w:val="lowerLetter"/>
      <w:lvlText w:val="%2)"/>
      <w:lvlJc w:val="left"/>
      <w:pPr>
        <w:ind w:left="1260" w:hanging="420"/>
      </w:pPr>
      <w:rPr>
        <w:rFonts w:cs="Times New Roman"/>
      </w:rPr>
    </w:lvl>
    <w:lvl w:ilvl="2" w:tentative="0">
      <w:start w:val="1"/>
      <w:numFmt w:val="lowerRoman"/>
      <w:lvlText w:val="%3."/>
      <w:lvlJc w:val="right"/>
      <w:pPr>
        <w:ind w:left="1680" w:hanging="420"/>
      </w:pPr>
      <w:rPr>
        <w:rFonts w:cs="Times New Roman"/>
      </w:rPr>
    </w:lvl>
    <w:lvl w:ilvl="3" w:tentative="0">
      <w:start w:val="1"/>
      <w:numFmt w:val="decimal"/>
      <w:lvlText w:val="%4."/>
      <w:lvlJc w:val="left"/>
      <w:pPr>
        <w:ind w:left="2100" w:hanging="420"/>
      </w:pPr>
      <w:rPr>
        <w:rFonts w:cs="Times New Roman"/>
      </w:rPr>
    </w:lvl>
    <w:lvl w:ilvl="4" w:tentative="0">
      <w:start w:val="1"/>
      <w:numFmt w:val="lowerLetter"/>
      <w:lvlText w:val="%5)"/>
      <w:lvlJc w:val="left"/>
      <w:pPr>
        <w:ind w:left="2520" w:hanging="420"/>
      </w:pPr>
      <w:rPr>
        <w:rFonts w:cs="Times New Roman"/>
      </w:rPr>
    </w:lvl>
    <w:lvl w:ilvl="5" w:tentative="0">
      <w:start w:val="1"/>
      <w:numFmt w:val="lowerRoman"/>
      <w:lvlText w:val="%6."/>
      <w:lvlJc w:val="right"/>
      <w:pPr>
        <w:ind w:left="2940" w:hanging="420"/>
      </w:pPr>
      <w:rPr>
        <w:rFonts w:cs="Times New Roman"/>
      </w:rPr>
    </w:lvl>
    <w:lvl w:ilvl="6" w:tentative="0">
      <w:start w:val="1"/>
      <w:numFmt w:val="decimal"/>
      <w:lvlText w:val="%7."/>
      <w:lvlJc w:val="left"/>
      <w:pPr>
        <w:ind w:left="3360" w:hanging="420"/>
      </w:pPr>
      <w:rPr>
        <w:rFonts w:cs="Times New Roman"/>
      </w:rPr>
    </w:lvl>
    <w:lvl w:ilvl="7" w:tentative="0">
      <w:start w:val="1"/>
      <w:numFmt w:val="lowerLetter"/>
      <w:lvlText w:val="%8)"/>
      <w:lvlJc w:val="left"/>
      <w:pPr>
        <w:ind w:left="3780" w:hanging="420"/>
      </w:pPr>
      <w:rPr>
        <w:rFonts w:cs="Times New Roman"/>
      </w:rPr>
    </w:lvl>
    <w:lvl w:ilvl="8" w:tentative="0">
      <w:start w:val="1"/>
      <w:numFmt w:val="lowerRoman"/>
      <w:lvlText w:val="%9."/>
      <w:lvlJc w:val="right"/>
      <w:pPr>
        <w:ind w:left="4200" w:hanging="420"/>
      </w:pPr>
      <w:rPr>
        <w:rFonts w:cs="Times New Roman"/>
      </w:rPr>
    </w:lvl>
  </w:abstractNum>
  <w:abstractNum w:abstractNumId="3">
    <w:nsid w:val="27CD2DB7"/>
    <w:multiLevelType w:val="multilevel"/>
    <w:tmpl w:val="27CD2DB7"/>
    <w:lvl w:ilvl="0" w:tentative="0">
      <w:start w:val="1"/>
      <w:numFmt w:val="lowerLetter"/>
      <w:lvlText w:val="%1)"/>
      <w:lvlJc w:val="left"/>
      <w:pPr>
        <w:ind w:left="840" w:hanging="420"/>
      </w:pPr>
      <w:rPr>
        <w:rFonts w:cs="Times New Roman"/>
      </w:rPr>
    </w:lvl>
    <w:lvl w:ilvl="1" w:tentative="0">
      <w:start w:val="1"/>
      <w:numFmt w:val="lowerLetter"/>
      <w:lvlText w:val="%2)"/>
      <w:lvlJc w:val="left"/>
      <w:pPr>
        <w:ind w:left="1260" w:hanging="420"/>
      </w:pPr>
      <w:rPr>
        <w:rFonts w:cs="Times New Roman"/>
      </w:rPr>
    </w:lvl>
    <w:lvl w:ilvl="2" w:tentative="0">
      <w:start w:val="1"/>
      <w:numFmt w:val="lowerRoman"/>
      <w:lvlText w:val="%3."/>
      <w:lvlJc w:val="right"/>
      <w:pPr>
        <w:ind w:left="1680" w:hanging="420"/>
      </w:pPr>
      <w:rPr>
        <w:rFonts w:cs="Times New Roman"/>
      </w:rPr>
    </w:lvl>
    <w:lvl w:ilvl="3" w:tentative="0">
      <w:start w:val="1"/>
      <w:numFmt w:val="decimal"/>
      <w:lvlText w:val="%4."/>
      <w:lvlJc w:val="left"/>
      <w:pPr>
        <w:ind w:left="2100" w:hanging="420"/>
      </w:pPr>
      <w:rPr>
        <w:rFonts w:cs="Times New Roman"/>
      </w:rPr>
    </w:lvl>
    <w:lvl w:ilvl="4" w:tentative="0">
      <w:start w:val="1"/>
      <w:numFmt w:val="lowerLetter"/>
      <w:lvlText w:val="%5)"/>
      <w:lvlJc w:val="left"/>
      <w:pPr>
        <w:ind w:left="2520" w:hanging="420"/>
      </w:pPr>
      <w:rPr>
        <w:rFonts w:cs="Times New Roman"/>
      </w:rPr>
    </w:lvl>
    <w:lvl w:ilvl="5" w:tentative="0">
      <w:start w:val="1"/>
      <w:numFmt w:val="lowerRoman"/>
      <w:lvlText w:val="%6."/>
      <w:lvlJc w:val="right"/>
      <w:pPr>
        <w:ind w:left="2940" w:hanging="420"/>
      </w:pPr>
      <w:rPr>
        <w:rFonts w:cs="Times New Roman"/>
      </w:rPr>
    </w:lvl>
    <w:lvl w:ilvl="6" w:tentative="0">
      <w:start w:val="1"/>
      <w:numFmt w:val="decimal"/>
      <w:lvlText w:val="%7."/>
      <w:lvlJc w:val="left"/>
      <w:pPr>
        <w:ind w:left="3360" w:hanging="420"/>
      </w:pPr>
      <w:rPr>
        <w:rFonts w:cs="Times New Roman"/>
      </w:rPr>
    </w:lvl>
    <w:lvl w:ilvl="7" w:tentative="0">
      <w:start w:val="1"/>
      <w:numFmt w:val="lowerLetter"/>
      <w:lvlText w:val="%8)"/>
      <w:lvlJc w:val="left"/>
      <w:pPr>
        <w:ind w:left="3780" w:hanging="420"/>
      </w:pPr>
      <w:rPr>
        <w:rFonts w:cs="Times New Roman"/>
      </w:rPr>
    </w:lvl>
    <w:lvl w:ilvl="8" w:tentative="0">
      <w:start w:val="1"/>
      <w:numFmt w:val="lowerRoman"/>
      <w:lvlText w:val="%9."/>
      <w:lvlJc w:val="right"/>
      <w:pPr>
        <w:ind w:left="4200" w:hanging="420"/>
      </w:pPr>
      <w:rPr>
        <w:rFonts w:cs="Times New Roman"/>
      </w:rPr>
    </w:lvl>
  </w:abstractNum>
  <w:abstractNum w:abstractNumId="4">
    <w:nsid w:val="59C383DF"/>
    <w:multiLevelType w:val="singleLevel"/>
    <w:tmpl w:val="59C383DF"/>
    <w:lvl w:ilvl="0" w:tentative="0">
      <w:start w:val="5"/>
      <w:numFmt w:val="decimal"/>
      <w:suff w:val="nothing"/>
      <w:lvlText w:val="%1."/>
      <w:lvlJc w:val="left"/>
    </w:lvl>
  </w:abstractNum>
  <w:abstractNum w:abstractNumId="5">
    <w:nsid w:val="71BA49F3"/>
    <w:multiLevelType w:val="singleLevel"/>
    <w:tmpl w:val="71BA49F3"/>
    <w:lvl w:ilvl="0" w:tentative="0">
      <w:start w:val="4"/>
      <w:numFmt w:val="decimal"/>
      <w:lvlText w:val="%1."/>
      <w:lvlJc w:val="left"/>
      <w:pPr>
        <w:tabs>
          <w:tab w:val="left" w:pos="312"/>
        </w:tabs>
      </w:pPr>
    </w:lvl>
  </w:abstractNum>
  <w:num w:numId="1">
    <w:abstractNumId w:val="1"/>
  </w:num>
  <w:num w:numId="2">
    <w:abstractNumId w:val="5"/>
  </w:num>
  <w:num w:numId="3">
    <w:abstractNumId w:val="0"/>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FEC"/>
    <w:rsid w:val="00044561"/>
    <w:rsid w:val="00051F5F"/>
    <w:rsid w:val="000B41F9"/>
    <w:rsid w:val="000C06E9"/>
    <w:rsid w:val="0010572D"/>
    <w:rsid w:val="00105FE1"/>
    <w:rsid w:val="0018214C"/>
    <w:rsid w:val="001A0849"/>
    <w:rsid w:val="001B2C23"/>
    <w:rsid w:val="001D344E"/>
    <w:rsid w:val="001E23D2"/>
    <w:rsid w:val="001F7339"/>
    <w:rsid w:val="00214142"/>
    <w:rsid w:val="00217B1E"/>
    <w:rsid w:val="00252DC7"/>
    <w:rsid w:val="002D3F5A"/>
    <w:rsid w:val="002F6431"/>
    <w:rsid w:val="003030F9"/>
    <w:rsid w:val="00310279"/>
    <w:rsid w:val="003116C6"/>
    <w:rsid w:val="0031228F"/>
    <w:rsid w:val="00313E3E"/>
    <w:rsid w:val="00323D54"/>
    <w:rsid w:val="00333D73"/>
    <w:rsid w:val="0033595F"/>
    <w:rsid w:val="00353437"/>
    <w:rsid w:val="00383B08"/>
    <w:rsid w:val="003867F8"/>
    <w:rsid w:val="00390599"/>
    <w:rsid w:val="003A1026"/>
    <w:rsid w:val="003A189D"/>
    <w:rsid w:val="003D35BA"/>
    <w:rsid w:val="003F3759"/>
    <w:rsid w:val="003F44A7"/>
    <w:rsid w:val="00413026"/>
    <w:rsid w:val="004237CA"/>
    <w:rsid w:val="00446534"/>
    <w:rsid w:val="004711E6"/>
    <w:rsid w:val="00501C3B"/>
    <w:rsid w:val="005062B6"/>
    <w:rsid w:val="005223FE"/>
    <w:rsid w:val="00545180"/>
    <w:rsid w:val="00566E3E"/>
    <w:rsid w:val="005F7B51"/>
    <w:rsid w:val="00611CAA"/>
    <w:rsid w:val="00627FAF"/>
    <w:rsid w:val="00646BBD"/>
    <w:rsid w:val="00647826"/>
    <w:rsid w:val="006512A0"/>
    <w:rsid w:val="00651F72"/>
    <w:rsid w:val="0066358C"/>
    <w:rsid w:val="0066376C"/>
    <w:rsid w:val="00674190"/>
    <w:rsid w:val="006840C8"/>
    <w:rsid w:val="00693C74"/>
    <w:rsid w:val="006B35F7"/>
    <w:rsid w:val="006B5811"/>
    <w:rsid w:val="006C6E59"/>
    <w:rsid w:val="006D77EF"/>
    <w:rsid w:val="00701D86"/>
    <w:rsid w:val="0073681C"/>
    <w:rsid w:val="007901AF"/>
    <w:rsid w:val="007A0902"/>
    <w:rsid w:val="008113FF"/>
    <w:rsid w:val="00812DCA"/>
    <w:rsid w:val="00814004"/>
    <w:rsid w:val="008249B9"/>
    <w:rsid w:val="00834336"/>
    <w:rsid w:val="008D68E6"/>
    <w:rsid w:val="008F3052"/>
    <w:rsid w:val="00902BA0"/>
    <w:rsid w:val="009376B3"/>
    <w:rsid w:val="0095554C"/>
    <w:rsid w:val="00972BA4"/>
    <w:rsid w:val="00987B7E"/>
    <w:rsid w:val="00995906"/>
    <w:rsid w:val="009A062D"/>
    <w:rsid w:val="009A2D22"/>
    <w:rsid w:val="009B000D"/>
    <w:rsid w:val="009D7FEC"/>
    <w:rsid w:val="00A0408F"/>
    <w:rsid w:val="00A47EB7"/>
    <w:rsid w:val="00A50F9E"/>
    <w:rsid w:val="00A61976"/>
    <w:rsid w:val="00A6265E"/>
    <w:rsid w:val="00A9497A"/>
    <w:rsid w:val="00AA0DCE"/>
    <w:rsid w:val="00AC16DD"/>
    <w:rsid w:val="00AC7591"/>
    <w:rsid w:val="00AD20B9"/>
    <w:rsid w:val="00B16DE1"/>
    <w:rsid w:val="00B22DB1"/>
    <w:rsid w:val="00B22F27"/>
    <w:rsid w:val="00B53BBF"/>
    <w:rsid w:val="00B63DA2"/>
    <w:rsid w:val="00BA70EC"/>
    <w:rsid w:val="00BE0EBE"/>
    <w:rsid w:val="00BF071B"/>
    <w:rsid w:val="00BF235C"/>
    <w:rsid w:val="00C02BA0"/>
    <w:rsid w:val="00C22333"/>
    <w:rsid w:val="00C2314C"/>
    <w:rsid w:val="00C44D2E"/>
    <w:rsid w:val="00C60723"/>
    <w:rsid w:val="00C76DC0"/>
    <w:rsid w:val="00C94E0B"/>
    <w:rsid w:val="00CD2E5B"/>
    <w:rsid w:val="00D01E09"/>
    <w:rsid w:val="00D114E1"/>
    <w:rsid w:val="00D22098"/>
    <w:rsid w:val="00D2247A"/>
    <w:rsid w:val="00D23FAF"/>
    <w:rsid w:val="00D34F10"/>
    <w:rsid w:val="00D51E00"/>
    <w:rsid w:val="00D55EC7"/>
    <w:rsid w:val="00DA72C9"/>
    <w:rsid w:val="00DD7B9F"/>
    <w:rsid w:val="00E20DD9"/>
    <w:rsid w:val="00E409A7"/>
    <w:rsid w:val="00E425E2"/>
    <w:rsid w:val="00E45D7B"/>
    <w:rsid w:val="00E81DF2"/>
    <w:rsid w:val="00E8722A"/>
    <w:rsid w:val="00E96DAE"/>
    <w:rsid w:val="00EC3BF8"/>
    <w:rsid w:val="00F04ED3"/>
    <w:rsid w:val="00F453A2"/>
    <w:rsid w:val="00F72AC5"/>
    <w:rsid w:val="00F858F9"/>
    <w:rsid w:val="00F90A7B"/>
    <w:rsid w:val="00FA301B"/>
    <w:rsid w:val="00FA3F09"/>
    <w:rsid w:val="00FB4766"/>
    <w:rsid w:val="01F1146E"/>
    <w:rsid w:val="0226362C"/>
    <w:rsid w:val="03B32281"/>
    <w:rsid w:val="04781FA3"/>
    <w:rsid w:val="048F51D7"/>
    <w:rsid w:val="054A0589"/>
    <w:rsid w:val="060C15EC"/>
    <w:rsid w:val="06AA4813"/>
    <w:rsid w:val="06BD6AF1"/>
    <w:rsid w:val="08366838"/>
    <w:rsid w:val="08BD29FC"/>
    <w:rsid w:val="09113B3D"/>
    <w:rsid w:val="09B96FA3"/>
    <w:rsid w:val="09EC545D"/>
    <w:rsid w:val="0A93185B"/>
    <w:rsid w:val="0B1015C1"/>
    <w:rsid w:val="0B652DF3"/>
    <w:rsid w:val="0C10449B"/>
    <w:rsid w:val="0DA40AD1"/>
    <w:rsid w:val="0DB73FF9"/>
    <w:rsid w:val="0DCA65A9"/>
    <w:rsid w:val="0E1531A3"/>
    <w:rsid w:val="0E926080"/>
    <w:rsid w:val="10102255"/>
    <w:rsid w:val="10A46431"/>
    <w:rsid w:val="11333528"/>
    <w:rsid w:val="113E506A"/>
    <w:rsid w:val="116719BD"/>
    <w:rsid w:val="11D00216"/>
    <w:rsid w:val="12135F59"/>
    <w:rsid w:val="127043B8"/>
    <w:rsid w:val="135F141D"/>
    <w:rsid w:val="13AE2E4B"/>
    <w:rsid w:val="13C91D64"/>
    <w:rsid w:val="152D688E"/>
    <w:rsid w:val="15376654"/>
    <w:rsid w:val="15584569"/>
    <w:rsid w:val="15723CED"/>
    <w:rsid w:val="161B1EAC"/>
    <w:rsid w:val="166748BD"/>
    <w:rsid w:val="178971DD"/>
    <w:rsid w:val="17923EC8"/>
    <w:rsid w:val="17992283"/>
    <w:rsid w:val="184D5E8A"/>
    <w:rsid w:val="18B611E9"/>
    <w:rsid w:val="1928638B"/>
    <w:rsid w:val="19460D25"/>
    <w:rsid w:val="19774D03"/>
    <w:rsid w:val="19961FAD"/>
    <w:rsid w:val="1ABA0316"/>
    <w:rsid w:val="1B213003"/>
    <w:rsid w:val="1BB853DB"/>
    <w:rsid w:val="1C6A62C1"/>
    <w:rsid w:val="1D1C404A"/>
    <w:rsid w:val="1D29350E"/>
    <w:rsid w:val="1D5523F8"/>
    <w:rsid w:val="1D7C0F17"/>
    <w:rsid w:val="1E423E8F"/>
    <w:rsid w:val="1ECF21D1"/>
    <w:rsid w:val="1F252964"/>
    <w:rsid w:val="20457C13"/>
    <w:rsid w:val="21864BC3"/>
    <w:rsid w:val="218E5E9C"/>
    <w:rsid w:val="21D107FE"/>
    <w:rsid w:val="21D23318"/>
    <w:rsid w:val="21E776D4"/>
    <w:rsid w:val="22944664"/>
    <w:rsid w:val="234030B6"/>
    <w:rsid w:val="235C4605"/>
    <w:rsid w:val="246D44B6"/>
    <w:rsid w:val="24DB42DA"/>
    <w:rsid w:val="250F36B9"/>
    <w:rsid w:val="251F4E5D"/>
    <w:rsid w:val="25405B6B"/>
    <w:rsid w:val="25E432F9"/>
    <w:rsid w:val="261A4739"/>
    <w:rsid w:val="26C97293"/>
    <w:rsid w:val="28E12973"/>
    <w:rsid w:val="291F2BED"/>
    <w:rsid w:val="2A6A7F8F"/>
    <w:rsid w:val="2B8B27D3"/>
    <w:rsid w:val="2BBC2F1E"/>
    <w:rsid w:val="2C8D2233"/>
    <w:rsid w:val="2C9150EA"/>
    <w:rsid w:val="2D466408"/>
    <w:rsid w:val="2D937244"/>
    <w:rsid w:val="2D937F9A"/>
    <w:rsid w:val="2DF4668E"/>
    <w:rsid w:val="2E131231"/>
    <w:rsid w:val="2E1C2CA1"/>
    <w:rsid w:val="2EB46B0E"/>
    <w:rsid w:val="2EEC0043"/>
    <w:rsid w:val="2F6A55B7"/>
    <w:rsid w:val="2F827080"/>
    <w:rsid w:val="2F940C94"/>
    <w:rsid w:val="30F860BB"/>
    <w:rsid w:val="31235775"/>
    <w:rsid w:val="32BF3EC4"/>
    <w:rsid w:val="32E11148"/>
    <w:rsid w:val="32ED492D"/>
    <w:rsid w:val="332F1362"/>
    <w:rsid w:val="335E4D10"/>
    <w:rsid w:val="33694C77"/>
    <w:rsid w:val="35794B2A"/>
    <w:rsid w:val="35E17E01"/>
    <w:rsid w:val="35F2762E"/>
    <w:rsid w:val="3624491C"/>
    <w:rsid w:val="369320E6"/>
    <w:rsid w:val="37A6273E"/>
    <w:rsid w:val="37FC355E"/>
    <w:rsid w:val="39295CE8"/>
    <w:rsid w:val="397272C6"/>
    <w:rsid w:val="39EC1FCF"/>
    <w:rsid w:val="3A5D0E6A"/>
    <w:rsid w:val="3B4B05B0"/>
    <w:rsid w:val="3B9B7ACD"/>
    <w:rsid w:val="3C3755A0"/>
    <w:rsid w:val="3D7E02F8"/>
    <w:rsid w:val="3D8F0B9B"/>
    <w:rsid w:val="3D9F1203"/>
    <w:rsid w:val="3E267BF6"/>
    <w:rsid w:val="3F54136B"/>
    <w:rsid w:val="3F871E0E"/>
    <w:rsid w:val="40342421"/>
    <w:rsid w:val="422E10B0"/>
    <w:rsid w:val="42C1068B"/>
    <w:rsid w:val="436E77F7"/>
    <w:rsid w:val="45034244"/>
    <w:rsid w:val="460534AE"/>
    <w:rsid w:val="46B96FA8"/>
    <w:rsid w:val="46EF320C"/>
    <w:rsid w:val="47E377A2"/>
    <w:rsid w:val="47E75C8E"/>
    <w:rsid w:val="482C0D6C"/>
    <w:rsid w:val="486B7D9B"/>
    <w:rsid w:val="48F72000"/>
    <w:rsid w:val="49427840"/>
    <w:rsid w:val="4A7D1651"/>
    <w:rsid w:val="4AA23905"/>
    <w:rsid w:val="4B132149"/>
    <w:rsid w:val="4BF84073"/>
    <w:rsid w:val="4D1C601A"/>
    <w:rsid w:val="4D4D0A9A"/>
    <w:rsid w:val="4EFB62E5"/>
    <w:rsid w:val="4F0B333C"/>
    <w:rsid w:val="4F702822"/>
    <w:rsid w:val="4F9D058B"/>
    <w:rsid w:val="500240C7"/>
    <w:rsid w:val="517510B1"/>
    <w:rsid w:val="52C328AE"/>
    <w:rsid w:val="52F55B71"/>
    <w:rsid w:val="53DB3A33"/>
    <w:rsid w:val="55335F58"/>
    <w:rsid w:val="55E01B61"/>
    <w:rsid w:val="560C0919"/>
    <w:rsid w:val="56154091"/>
    <w:rsid w:val="5703149A"/>
    <w:rsid w:val="58585CF8"/>
    <w:rsid w:val="58667BD7"/>
    <w:rsid w:val="5A03588A"/>
    <w:rsid w:val="5A1B6E4F"/>
    <w:rsid w:val="5ABD7C20"/>
    <w:rsid w:val="5B5700C1"/>
    <w:rsid w:val="5C437ACF"/>
    <w:rsid w:val="5C7225AB"/>
    <w:rsid w:val="5CE40FC2"/>
    <w:rsid w:val="5D6837AA"/>
    <w:rsid w:val="5E3D4468"/>
    <w:rsid w:val="5E9E5116"/>
    <w:rsid w:val="5EB56B51"/>
    <w:rsid w:val="5EDF4F15"/>
    <w:rsid w:val="5EE725A0"/>
    <w:rsid w:val="5FE741E1"/>
    <w:rsid w:val="60037CAC"/>
    <w:rsid w:val="61753C3D"/>
    <w:rsid w:val="618D22B5"/>
    <w:rsid w:val="62287251"/>
    <w:rsid w:val="625A5ADD"/>
    <w:rsid w:val="628A7E15"/>
    <w:rsid w:val="63861C80"/>
    <w:rsid w:val="639B6744"/>
    <w:rsid w:val="6450238E"/>
    <w:rsid w:val="65353C42"/>
    <w:rsid w:val="65606568"/>
    <w:rsid w:val="67336CCB"/>
    <w:rsid w:val="679D0404"/>
    <w:rsid w:val="68F230C0"/>
    <w:rsid w:val="69D14731"/>
    <w:rsid w:val="69E56F7E"/>
    <w:rsid w:val="69FE7ED4"/>
    <w:rsid w:val="6AAA6740"/>
    <w:rsid w:val="6B6C0B28"/>
    <w:rsid w:val="6C6809C7"/>
    <w:rsid w:val="6C7C294E"/>
    <w:rsid w:val="6CFF4BCC"/>
    <w:rsid w:val="6D0D3E3C"/>
    <w:rsid w:val="6DD92642"/>
    <w:rsid w:val="6E7B44B3"/>
    <w:rsid w:val="6F4E1C4A"/>
    <w:rsid w:val="707956C5"/>
    <w:rsid w:val="70C17BA5"/>
    <w:rsid w:val="70CA5E87"/>
    <w:rsid w:val="70F1041D"/>
    <w:rsid w:val="712C6FB5"/>
    <w:rsid w:val="719C1493"/>
    <w:rsid w:val="723231B5"/>
    <w:rsid w:val="728C7AAD"/>
    <w:rsid w:val="74D55E46"/>
    <w:rsid w:val="75754B59"/>
    <w:rsid w:val="761B7B09"/>
    <w:rsid w:val="764C32EB"/>
    <w:rsid w:val="767F78C6"/>
    <w:rsid w:val="7681592D"/>
    <w:rsid w:val="78F5321E"/>
    <w:rsid w:val="7A0405D9"/>
    <w:rsid w:val="7A6554A2"/>
    <w:rsid w:val="7A953422"/>
    <w:rsid w:val="7AF451F6"/>
    <w:rsid w:val="7B006226"/>
    <w:rsid w:val="7B3D59A5"/>
    <w:rsid w:val="7C290A31"/>
    <w:rsid w:val="7C8E675C"/>
    <w:rsid w:val="7D0B2F2F"/>
    <w:rsid w:val="7E133460"/>
    <w:rsid w:val="7E3E2115"/>
    <w:rsid w:val="7E86760E"/>
    <w:rsid w:val="7F6C6B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0"/>
    <w:pPr>
      <w:keepNext/>
      <w:keepLines/>
      <w:spacing w:before="156" w:beforeLines="50" w:after="156" w:afterLines="50" w:line="360" w:lineRule="auto"/>
      <w:jc w:val="left"/>
      <w:outlineLvl w:val="0"/>
    </w:pPr>
    <w:rPr>
      <w:rFonts w:ascii="Arial" w:hAnsi="Arial"/>
      <w:b/>
      <w:bCs/>
      <w:kern w:val="44"/>
      <w:sz w:val="2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link w:val="17"/>
    <w:qFormat/>
    <w:uiPriority w:val="0"/>
    <w:pPr>
      <w:jc w:val="left"/>
    </w:pPr>
    <w:rPr>
      <w:szCs w:val="20"/>
    </w:rPr>
  </w:style>
  <w:style w:type="paragraph" w:styleId="5">
    <w:name w:val="Plain Text"/>
    <w:basedOn w:val="1"/>
    <w:qFormat/>
    <w:uiPriority w:val="99"/>
    <w:rPr>
      <w:rFonts w:ascii="宋体" w:hAnsi="Courier New" w:eastAsia="宋体" w:cs="Times New Roman"/>
      <w:szCs w:val="21"/>
      <w:lang w:val="zh-CN" w:eastAsia="zh-CN"/>
    </w:rPr>
  </w:style>
  <w:style w:type="paragraph" w:styleId="6">
    <w:name w:val="Date"/>
    <w:basedOn w:val="1"/>
    <w:next w:val="1"/>
    <w:qFormat/>
    <w:uiPriority w:val="0"/>
    <w:rPr>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0"/>
  </w:style>
  <w:style w:type="paragraph" w:styleId="10">
    <w:name w:val="Title"/>
    <w:basedOn w:val="1"/>
    <w:next w:val="1"/>
    <w:link w:val="18"/>
    <w:qFormat/>
    <w:uiPriority w:val="0"/>
    <w:pPr>
      <w:spacing w:before="240" w:after="60"/>
      <w:jc w:val="center"/>
      <w:outlineLvl w:val="0"/>
    </w:pPr>
    <w:rPr>
      <w:rFonts w:ascii="Cambria" w:hAnsi="Cambria"/>
      <w:b/>
      <w:bCs/>
      <w:sz w:val="32"/>
      <w:szCs w:val="3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uiPriority w:val="0"/>
  </w:style>
  <w:style w:type="character" w:styleId="15">
    <w:name w:val="Hyperlink"/>
    <w:basedOn w:val="13"/>
    <w:qFormat/>
    <w:uiPriority w:val="0"/>
    <w:rPr>
      <w:color w:val="0000FF"/>
      <w:u w:val="single"/>
    </w:rPr>
  </w:style>
  <w:style w:type="character" w:customStyle="1" w:styleId="16">
    <w:name w:val=" Char Char1"/>
    <w:link w:val="2"/>
    <w:uiPriority w:val="0"/>
    <w:rPr>
      <w:rFonts w:ascii="Arial" w:hAnsi="Arial" w:eastAsia="宋体"/>
      <w:b/>
      <w:bCs/>
      <w:kern w:val="44"/>
      <w:sz w:val="24"/>
      <w:szCs w:val="44"/>
      <w:lang w:val="en-US" w:eastAsia="zh-CN" w:bidi="ar-SA"/>
    </w:rPr>
  </w:style>
  <w:style w:type="character" w:customStyle="1" w:styleId="17">
    <w:name w:val="批注文字 Char"/>
    <w:link w:val="4"/>
    <w:qFormat/>
    <w:uiPriority w:val="0"/>
    <w:rPr>
      <w:rFonts w:eastAsia="宋体"/>
      <w:kern w:val="2"/>
      <w:sz w:val="21"/>
      <w:lang w:bidi="ar-SA"/>
    </w:rPr>
  </w:style>
  <w:style w:type="character" w:customStyle="1" w:styleId="18">
    <w:name w:val="标题 Char"/>
    <w:link w:val="10"/>
    <w:qFormat/>
    <w:uiPriority w:val="0"/>
    <w:rPr>
      <w:rFonts w:ascii="Cambria" w:hAnsi="Cambria" w:eastAsia="宋体"/>
      <w:b/>
      <w:bCs/>
      <w:kern w:val="2"/>
      <w:sz w:val="32"/>
      <w:szCs w:val="32"/>
      <w:lang w:bidi="ar-SA"/>
    </w:rPr>
  </w:style>
  <w:style w:type="character" w:customStyle="1" w:styleId="19">
    <w:name w:val="tpc_content1"/>
    <w:basedOn w:val="13"/>
    <w:qFormat/>
    <w:uiPriority w:val="0"/>
    <w:rPr>
      <w:sz w:val="20"/>
      <w:szCs w:val="20"/>
    </w:rPr>
  </w:style>
  <w:style w:type="character" w:customStyle="1" w:styleId="20">
    <w:name w:val="Text Char Char"/>
    <w:link w:val="21"/>
    <w:qFormat/>
    <w:uiPriority w:val="0"/>
    <w:rPr>
      <w:sz w:val="24"/>
      <w:lang w:eastAsia="en-US" w:bidi="ar-SA"/>
    </w:rPr>
  </w:style>
  <w:style w:type="paragraph" w:customStyle="1" w:styleId="21">
    <w:name w:val="Text"/>
    <w:basedOn w:val="1"/>
    <w:link w:val="20"/>
    <w:qFormat/>
    <w:uiPriority w:val="0"/>
    <w:pPr>
      <w:widowControl/>
      <w:spacing w:before="120"/>
    </w:pPr>
    <w:rPr>
      <w:rFonts w:eastAsia="Times New Roman"/>
      <w:kern w:val="0"/>
      <w:sz w:val="24"/>
      <w:szCs w:val="20"/>
      <w:lang w:eastAsia="en-US"/>
    </w:rPr>
  </w:style>
  <w:style w:type="paragraph" w:customStyle="1" w:styleId="22">
    <w:name w:val="Table Text"/>
    <w:basedOn w:val="1"/>
    <w:qFormat/>
    <w:uiPriority w:val="0"/>
    <w:pPr>
      <w:widowControl/>
      <w:spacing w:before="60" w:after="60"/>
      <w:jc w:val="center"/>
    </w:pPr>
    <w:rPr>
      <w:rFonts w:ascii="Times New Roman" w:hAnsi="Times New Roman" w:eastAsia="宋体" w:cs="Times New Roman"/>
      <w:bCs/>
      <w:kern w:val="0"/>
      <w:sz w:val="24"/>
      <w:szCs w:val="24"/>
      <w:lang w:eastAsia="en-US"/>
    </w:rPr>
  </w:style>
  <w:style w:type="paragraph" w:styleId="23">
    <w:name w:val="List Paragraph"/>
    <w:basedOn w:val="1"/>
    <w:qFormat/>
    <w:uiPriority w:val="34"/>
    <w:pPr>
      <w:ind w:firstLine="420" w:firstLineChars="200"/>
    </w:pPr>
  </w:style>
  <w:style w:type="paragraph" w:customStyle="1" w:styleId="2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jpeg"/><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759</Words>
  <Characters>4332</Characters>
  <Lines>36</Lines>
  <Paragraphs>10</Paragraphs>
  <TotalTime>12</TotalTime>
  <ScaleCrop>false</ScaleCrop>
  <LinksUpToDate>false</LinksUpToDate>
  <CharactersWithSpaces>5081</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2016-06-05T07:11:00Z</dcterms:created>
  <dc:creator>杜歆玥</dc:creator>
  <cp:lastModifiedBy>dm</cp:lastModifiedBy>
  <cp:lastPrinted>2017-09-22T05:11:00Z</cp:lastPrinted>
  <dcterms:modified xsi:type="dcterms:W3CDTF">2021-06-21T02:38:02Z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DD68905C233C42EBAB7F38DDD6B41D23</vt:lpwstr>
  </property>
</Properties>
</file>